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5ac1698efe8266d97203e7bd14c88891d3c8604"/>
    <w:p>
      <w:pPr>
        <w:pStyle w:val="Heading1"/>
      </w:pPr>
      <w:r>
        <w:t xml:space="preserve">Perceptions of Risk in a Complex World: How Cognitive Biases Shape Project Outcomes</w:t>
      </w:r>
    </w:p>
    <w:bookmarkStart w:id="20" w:name="abstract"/>
    <w:p>
      <w:pPr>
        <w:pStyle w:val="Heading2"/>
      </w:pPr>
      <w:r>
        <w:t xml:space="preserve">Abstract</w:t>
      </w:r>
    </w:p>
    <w:p>
      <w:pPr>
        <w:pStyle w:val="FirstParagraph"/>
      </w:pPr>
      <w:r>
        <w:t xml:space="preserve">Risk perception fundamentally shapes decision-making in complex project environments, often diverging significantly from objective risk assessments. This essay examines how cognitive biases and psychological factors influence stakeholders’ interpretation of risk, drawing on case studies from NASA, financial markets, and infrastructure projects. By analysing the gap between perceived and actual risk, this paper argues that successful project implementation requires not merely technical risk management, but sophisticated understanding of human cognition and targeted strategies to address perceptual distortions. The findings suggest that organisations embracing cognitive diversity, structured decision-making tools, and transparent risk communication significantly improve project outcomes in uncertain environments.</w:t>
      </w:r>
    </w:p>
    <w:p>
      <w:pPr>
        <w:pStyle w:val="BodyText"/>
      </w:pPr>
      <w:r>
        <w:rPr>
          <w:bCs/>
          <w:b/>
        </w:rPr>
        <w:t xml:space="preserve">Keywords:</w:t>
      </w:r>
      <w:r>
        <w:t xml:space="preserve"> </w:t>
      </w:r>
      <w:r>
        <w:t xml:space="preserve">risk perception, cognitive bias, project management, complex systems, decision-making</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In an increasingly interconnected and volatile world, projects operate within environments characterised by ambiguity, emergent properties, and cascading interdependencies—what scholars term</w:t>
      </w:r>
      <w:r>
        <w:t xml:space="preserve"> </w:t>
      </w:r>
      <w:r>
        <w:t xml:space="preserve">“</w:t>
      </w:r>
      <w:r>
        <w:t xml:space="preserve">complex adaptive systems</w:t>
      </w:r>
      <w:r>
        <w:t xml:space="preserve">”</w:t>
      </w:r>
      <w:r>
        <w:t xml:space="preserve"> </w:t>
      </w:r>
      <w:r>
        <w:t xml:space="preserve">(Snowden &amp; Boone, 2007). While traditional risk management frameworks emphasise probabilistic analysis and quantitative assessment, a critical yet frequently overlooked dimension concerns how human beings</w:t>
      </w:r>
      <w:r>
        <w:t xml:space="preserve"> </w:t>
      </w:r>
      <w:r>
        <w:rPr>
          <w:iCs/>
          <w:i/>
        </w:rPr>
        <w:t xml:space="preserve">perceive</w:t>
      </w:r>
      <w:r>
        <w:t xml:space="preserve"> </w:t>
      </w:r>
      <w:r>
        <w:t xml:space="preserve">risk. Risk perception—the subjective judgement individuals make about the severity and probability of hazards—often diverges dramatically from statistical reality, with profound implications for project success (Slovic, 1987). This essay argues that in complex operating environments, the gap between perceived risk and objective risk constitutes a primary determinant of project outcomes. Through critical analysis of cognitive psychology research and examination of illustrative case studies, this paper demonstrates that effective project implementation requires explicit attention to risk perception dynamics, including the systematic biases that distort judgement and the communication strategies that can align stakeholder understanding with operational reality.</w:t>
      </w:r>
    </w:p>
    <w:bookmarkEnd w:id="21"/>
    <w:bookmarkStart w:id="22" w:name="X79635f888f38ef20f88bd5b63ca81ede433d56a"/>
    <w:p>
      <w:pPr>
        <w:pStyle w:val="Heading2"/>
      </w:pPr>
      <w:r>
        <w:t xml:space="preserve">Theoretical Framework: Understanding Risk Perception</w:t>
      </w:r>
    </w:p>
    <w:p>
      <w:pPr>
        <w:pStyle w:val="FirstParagraph"/>
      </w:pPr>
      <w:r>
        <w:t xml:space="preserve">The modern study of risk perception emerged from the seminal work of Paul Slovic and colleagues at the Decision Research Institute, who demonstrated that public responses to hazards correlated poorly with technical estimates of mortality and morbidity (Slovic, 1987). Instead, perception appeared governed by psychological</w:t>
      </w:r>
      <w:r>
        <w:t xml:space="preserve"> </w:t>
      </w:r>
      <w:r>
        <w:t xml:space="preserve">“</w:t>
      </w:r>
      <w:r>
        <w:t xml:space="preserve">affect heuristics</w:t>
      </w:r>
      <w:r>
        <w:t xml:space="preserve">”</w:t>
      </w:r>
      <w:r>
        <w:t xml:space="preserve">—rapid, intuitive judgements shaped by emotional responses and cognitive shortcuts. Slovic identified several key dimensions influencing risk perception: dread (catastrophic potential and lack of control), familiarity (novel versus well-understood hazards), and voluntariness (exposure by choice versus imposition). These factors explain why societies may simultaneously underweight familiar risks (smoking, driving) while overweighting unfamiliar ones (nuclear power, genetically modified organisms), even when objective data suggests contrary priorities.</w:t>
      </w:r>
    </w:p>
    <w:p>
      <w:pPr>
        <w:pStyle w:val="BodyText"/>
      </w:pPr>
      <w:r>
        <w:t xml:space="preserve">Building upon this foundation, Kahneman and Tversky’s prospect theory revolutionised understanding of decision-making under uncertainty (Kahneman &amp; Tversky, 1979). Their research revealed systematic deviations from rational choice models, including loss aversion (losses loom larger than equivalent gains), availability bias (overestimating risks easily recalled from memory), and confirmation bias (seeking information supporting pre-existing beliefs). In project contexts, these cognitive distortions manifest as overconfidence in planning estimates, blindness to accumulating warning signals, and premature commitment to failing courses of action—phenomena well-documented in organisational behaviour literature (Kahneman, 2011).</w:t>
      </w:r>
    </w:p>
    <w:p>
      <w:pPr>
        <w:pStyle w:val="BodyText"/>
      </w:pPr>
      <w:r>
        <w:t xml:space="preserve">More recently, scholars have emphasised the socially constructed nature of risk perception. Douglas and Wildavsky’s cultural theory posits that risk perception reflects underlying worldviews and group commitments, suggesting that disagreements about risk often mask deeper value conflicts (Douglas &amp; Wildavsky, 1982). This perspective illuminates why technical risk assessments frequently fail to persuade sceptical stakeholders—the issue is not information deficiency but fundamentally different frameworks for interpreting reality.</w:t>
      </w:r>
    </w:p>
    <w:bookmarkEnd w:id="22"/>
    <w:bookmarkStart w:id="27" w:name="X957d60f323f36f274341c043c8fca1f3a75f7b4"/>
    <w:p>
      <w:pPr>
        <w:pStyle w:val="Heading2"/>
      </w:pPr>
      <w:r>
        <w:t xml:space="preserve">Impact on Project Implementation: Evidence from Case Studies</w:t>
      </w:r>
    </w:p>
    <w:bookmarkStart w:id="23" w:name="Xa4447e9aa70cc14e72dfb327a0680ac0c15497a"/>
    <w:p>
      <w:pPr>
        <w:pStyle w:val="Heading3"/>
      </w:pPr>
      <w:r>
        <w:t xml:space="preserve">The Challenger Disaster: Normalisation of Deviance</w:t>
      </w:r>
    </w:p>
    <w:p>
      <w:pPr>
        <w:pStyle w:val="FirstParagraph"/>
      </w:pPr>
      <w:r>
        <w:t xml:space="preserve">The 1986 Space Shuttle Challenger explosion provides a paradigmatic case of risk perception failure in complex technical systems. Post-disaster investigations revealed that NASA managers had systematically underestimated the risks associated with O-ring seal failures in cold weather, despite engineering warnings (Vaughan, 1996). Diane Vaughan’s concept of</w:t>
      </w:r>
      <w:r>
        <w:t xml:space="preserve"> </w:t>
      </w:r>
      <w:r>
        <w:t xml:space="preserve">“</w:t>
      </w:r>
      <w:r>
        <w:t xml:space="preserve">normalisation of deviance</w:t>
      </w:r>
      <w:r>
        <w:t xml:space="preserve">”</w:t>
      </w:r>
      <w:r>
        <w:t xml:space="preserve"> </w:t>
      </w:r>
      <w:r>
        <w:t xml:space="preserve">captures the gradual process whereby organisations become habituated to anomalies that should signal danger. Repeated successful launches in suboptimal conditions progressively shifted the perceived risk boundary, rendering previously unacceptable conditions seemingly routine. The Challenger case illustrates how organisational culture and production pressures can systematically distort risk perception, creating blind spots that quantitative risk assessments fail to illuminate.</w:t>
      </w:r>
    </w:p>
    <w:bookmarkEnd w:id="23"/>
    <w:bookmarkStart w:id="24" w:name="Xaec59d02f2e19526d5ee6f4d66c1ad30af02ffc"/>
    <w:p>
      <w:pPr>
        <w:pStyle w:val="Heading3"/>
      </w:pPr>
      <w:r>
        <w:t xml:space="preserve">The 2008 Global Financial Crisis: Systemic Blindness</w:t>
      </w:r>
    </w:p>
    <w:p>
      <w:pPr>
        <w:pStyle w:val="FirstParagraph"/>
      </w:pPr>
      <w:r>
        <w:t xml:space="preserve">The collapse of Lehman Brothers and subsequent global financial meltdown exemplifies how risk perception failures at multiple levels can cascade through complex interconnected systems. Financial institutions’ risk models systematically underestimated the probability of correlated defaults in mortgage-backed securities, treating geographically dispersed housing markets as independent when they were in fact highly correlated (Taleb, 2007). This technical failure compounded with psychological factors: the prolonged period of economic stability preceding 2008 created an</w:t>
      </w:r>
      <w:r>
        <w:t xml:space="preserve"> </w:t>
      </w:r>
      <w:r>
        <w:t xml:space="preserve">“</w:t>
      </w:r>
      <w:r>
        <w:t xml:space="preserve">illusion of control</w:t>
      </w:r>
      <w:r>
        <w:t xml:space="preserve">”</w:t>
      </w:r>
      <w:r>
        <w:t xml:space="preserve"> </w:t>
      </w:r>
      <w:r>
        <w:t xml:space="preserve">and availability bias, whereby recent experience of prosperity made catastrophic outcomes seem improbable. The crisis demonstrates that in complex adaptive systems, risk perception failures can propagate rapidly through network effects, transforming individual miscalculations into systemic collapse.</w:t>
      </w:r>
    </w:p>
    <w:bookmarkEnd w:id="24"/>
    <w:bookmarkStart w:id="25" w:name="Xee69d5cd71aaff23bf135242d53b58d6abb3e84"/>
    <w:p>
      <w:pPr>
        <w:pStyle w:val="Heading3"/>
      </w:pPr>
      <w:r>
        <w:t xml:space="preserve">Infrastructure Megaprojects: Optimism Bias and Strategic Misrepresentation</w:t>
      </w:r>
    </w:p>
    <w:p>
      <w:pPr>
        <w:pStyle w:val="FirstParagraph"/>
      </w:pPr>
      <w:r>
        <w:t xml:space="preserve">Flyvbjerg’s extensive research on infrastructure megaprojects reveals systematic patterns of cost overruns and benefit shortfalls traceable to distorted risk perception (Flyvbjerg, 2014). His concept of</w:t>
      </w:r>
      <w:r>
        <w:t xml:space="preserve"> </w:t>
      </w:r>
      <w:r>
        <w:t xml:space="preserve">“</w:t>
      </w:r>
      <w:r>
        <w:t xml:space="preserve">optimism bias</w:t>
      </w:r>
      <w:r>
        <w:t xml:space="preserve">”</w:t>
      </w:r>
      <w:r>
        <w:t xml:space="preserve">—the tendency to overestimate benefits and underestimate costs and risks—explains why projects from the Sydney Opera House to Boston’s Big Dig consistently exceeded budgets and timelines. Flyvbjerg argues that this bias often represents not innocent error but</w:t>
      </w:r>
      <w:r>
        <w:t xml:space="preserve"> </w:t>
      </w:r>
      <w:r>
        <w:t xml:space="preserve">“</w:t>
      </w:r>
      <w:r>
        <w:t xml:space="preserve">strategic misrepresentation,</w:t>
      </w:r>
      <w:r>
        <w:t xml:space="preserve">”</w:t>
      </w:r>
      <w:r>
        <w:t xml:space="preserve"> </w:t>
      </w:r>
      <w:r>
        <w:t xml:space="preserve">whereby project promoters deliberately understate risks to secure approval and funding. The phenomenon illustrates how institutional incentives can systematically distort risk perception, with decision-makers either unconsciously biased or consciously manipulative in their assessments.</w:t>
      </w:r>
    </w:p>
    <w:bookmarkEnd w:id="25"/>
    <w:bookmarkStart w:id="26" w:name="X9f62c67f79e7c4074fde7d17159c250897cb92d"/>
    <w:p>
      <w:pPr>
        <w:pStyle w:val="Heading3"/>
      </w:pPr>
      <w:r>
        <w:t xml:space="preserve">COVID-19 Pandemic Response: Divergent Perceptions and Policy Outcomes</w:t>
      </w:r>
    </w:p>
    <w:p>
      <w:pPr>
        <w:pStyle w:val="FirstParagraph"/>
      </w:pPr>
      <w:r>
        <w:t xml:space="preserve">The varied national responses to COVID-19 demonstrate how risk perception shapes policy implementation in real-time. Countries with experience of SARS (South Korea, Taiwan) perceived pandemic risk more acutely and implemented aggressive containment measures earlier than nations lacking such</w:t>
      </w:r>
      <w:r>
        <w:t xml:space="preserve"> </w:t>
      </w:r>
      <w:r>
        <w:t xml:space="preserve">“</w:t>
      </w:r>
      <w:r>
        <w:t xml:space="preserve">availability</w:t>
      </w:r>
      <w:r>
        <w:t xml:space="preserve">”</w:t>
      </w:r>
      <w:r>
        <w:t xml:space="preserve"> </w:t>
      </w:r>
      <w:r>
        <w:t xml:space="preserve">in collective memory (Bavel et al., 2020). Conversely, some political leaders initially downplayed risks, reflecting optimism bias and confirmation bias in information processing. The pandemic illustrates how risk perception operates at collective as well as individual levels, with media framing, political rhetoric, and social influence shaping both public understanding and policy implementation. The case underscores that in complex, rapidly evolving situations, initial risk perceptions—whether accurate or distorted—can become self-fulfilling prophecies, determining whether interventions succeed or fail.</w:t>
      </w:r>
    </w:p>
    <w:bookmarkEnd w:id="26"/>
    <w:bookmarkEnd w:id="27"/>
    <w:bookmarkStart w:id="32" w:name="X3566be2ac7aea1ab1d38d5c6fccb26be97efce2"/>
    <w:p>
      <w:pPr>
        <w:pStyle w:val="Heading2"/>
      </w:pPr>
      <w:r>
        <w:t xml:space="preserve">Strategies for Managing Risk Perception in Complex Environments</w:t>
      </w:r>
    </w:p>
    <w:p>
      <w:pPr>
        <w:pStyle w:val="FirstParagraph"/>
      </w:pPr>
      <w:r>
        <w:t xml:space="preserve">Recognising the profound impact of risk perception on project outcomes, scholars and practitioners have developed strategies to mitigate cognitive biases and align stakeholder understanding with operational realities. These approaches move beyond traditional risk registers and probabilistic analysis to address the psychological and social dimensions of risk interpretation.</w:t>
      </w:r>
    </w:p>
    <w:bookmarkStart w:id="28" w:name="X1e9cd8bb3f649137c6f34f3bac0ed9943d4c449"/>
    <w:p>
      <w:pPr>
        <w:pStyle w:val="Heading3"/>
      </w:pPr>
      <w:r>
        <w:t xml:space="preserve">Cognitive Diversity and Structured Dissent</w:t>
      </w:r>
    </w:p>
    <w:p>
      <w:pPr>
        <w:pStyle w:val="FirstParagraph"/>
      </w:pPr>
      <w:r>
        <w:t xml:space="preserve">One powerful approach involves institutionalising cognitive diversity through mechanisms like</w:t>
      </w:r>
      <w:r>
        <w:t xml:space="preserve"> </w:t>
      </w:r>
      <w:r>
        <w:t xml:space="preserve">“</w:t>
      </w:r>
      <w:r>
        <w:t xml:space="preserve">red teaming</w:t>
      </w:r>
      <w:r>
        <w:t xml:space="preserve">”</w:t>
      </w:r>
      <w:r>
        <w:t xml:space="preserve"> </w:t>
      </w:r>
      <w:r>
        <w:t xml:space="preserve">and structured dissent. Red teaming—assigning groups to argue against prevailing assumptions—directly counteracts confirmation bias and groupthink by legitimising scepticism and rewarding critical evaluation (Casscells et al., 2007). The U.S. military and intelligence communities have increasingly adopted such approaches following failures in Iraq and Afghanistan, where premature consensus and suppression of dissenting voices led to catastrophic misjudgements. Similarly,</w:t>
      </w:r>
      <w:r>
        <w:t xml:space="preserve"> </w:t>
      </w:r>
      <w:r>
        <w:t xml:space="preserve">“</w:t>
      </w:r>
      <w:r>
        <w:t xml:space="preserve">pre-mortem</w:t>
      </w:r>
      <w:r>
        <w:t xml:space="preserve">”</w:t>
      </w:r>
      <w:r>
        <w:t xml:space="preserve"> </w:t>
      </w:r>
      <w:r>
        <w:t xml:space="preserve">analysis, whereby teams imagine a project has failed and work backwards to identify causes, exploits the availability heuristic constructively, making potential risks more cognitively accessible before they materialise (Klein, 2007).</w:t>
      </w:r>
    </w:p>
    <w:bookmarkEnd w:id="28"/>
    <w:bookmarkStart w:id="29" w:name="X26d5b177cad69e09a9f28ef81c132e3f6df0326"/>
    <w:p>
      <w:pPr>
        <w:pStyle w:val="Heading3"/>
      </w:pPr>
      <w:r>
        <w:t xml:space="preserve">Decision-Making Tools and Debiasing Techniques</w:t>
      </w:r>
    </w:p>
    <w:p>
      <w:pPr>
        <w:pStyle w:val="FirstParagraph"/>
      </w:pPr>
      <w:r>
        <w:t xml:space="preserve">Structured decision-making tools can reduce the influence of intuitive biases by forcing systematic consideration of alternatives and evidence. Reference class forecasting, developed by Flyvbjerg, addresses optimism bias by requiring planners to compare their projects with similar completed projects rather than relying on internal estimates (Flyvbjerg, 2008). Similarly, scenario planning and stress-testing explicitly consider low-probability, high-impact events that availability bias might otherwise render invisible. These techniques do not eliminate cognitive biases but create procedural checks that constrain their influence, analogous to how checklists reduce errors in aviation and surgery (Gawande, 2009).</w:t>
      </w:r>
    </w:p>
    <w:bookmarkEnd w:id="29"/>
    <w:bookmarkStart w:id="30" w:name="transparent-risk-communication"/>
    <w:p>
      <w:pPr>
        <w:pStyle w:val="Heading3"/>
      </w:pPr>
      <w:r>
        <w:t xml:space="preserve">Transparent Risk Communication</w:t>
      </w:r>
    </w:p>
    <w:p>
      <w:pPr>
        <w:pStyle w:val="FirstParagraph"/>
      </w:pPr>
      <w:r>
        <w:t xml:space="preserve">Effective risk communication requires understanding that stakeholders process quantitative information through affective and cultural filters. Slovic and colleagues have demonstrated that presenting risk statistics alongside vivid narratives or visual representations significantly alters comprehension and response (Slovic et al., 2004). Conversely,</w:t>
      </w:r>
      <w:r>
        <w:t xml:space="preserve"> </w:t>
      </w:r>
      <w:r>
        <w:t xml:space="preserve">“</w:t>
      </w:r>
      <w:r>
        <w:t xml:space="preserve">probability neglect</w:t>
      </w:r>
      <w:r>
        <w:t xml:space="preserve">”</w:t>
      </w:r>
      <w:r>
        <w:t xml:space="preserve">—the tendency to focus on outcomes rather than probabilities—means that simply providing likelihood estimates may fail to address concerns about catastrophic possibilities. Successful risk communication therefore requires tailoring messages to audience psychology, using analogies and narratives that resonate with existing mental models while gradually introducing technical complexity.</w:t>
      </w:r>
    </w:p>
    <w:bookmarkEnd w:id="30"/>
    <w:bookmarkStart w:id="31" w:name="Xbbc40390f1769c581f378afc158a53eae435496"/>
    <w:p>
      <w:pPr>
        <w:pStyle w:val="Heading3"/>
      </w:pPr>
      <w:r>
        <w:t xml:space="preserve">Organisational Culture and Psychological Safety</w:t>
      </w:r>
    </w:p>
    <w:p>
      <w:pPr>
        <w:pStyle w:val="FirstParagraph"/>
      </w:pPr>
      <w:r>
        <w:t xml:space="preserve">Perhaps most fundamentally, managing risk perception requires organisational cultures that encourage reporting of bad news and protect whistleblowers. Edmondson’s research on</w:t>
      </w:r>
      <w:r>
        <w:t xml:space="preserve"> </w:t>
      </w:r>
      <w:r>
        <w:t xml:space="preserve">“</w:t>
      </w:r>
      <w:r>
        <w:t xml:space="preserve">psychological safety</w:t>
      </w:r>
      <w:r>
        <w:t xml:space="preserve">”</w:t>
      </w:r>
      <w:r>
        <w:t xml:space="preserve"> </w:t>
      </w:r>
      <w:r>
        <w:t xml:space="preserve">demonstrates that teams perform better in complex, uncertain environments when members feel safe to admit errors, ask questions, and challenge assumptions without fear of punishment (Edmondson, 1999). The Challenger disaster exemplifies the consequences of cultures lacking such safety, where engineers who raised concerns were overridden by managers prioritising schedule adherence. Building psychologically safe environments requires leadership modelling of vulnerability, explicit reward systems for raising concerns, and protection of dissenters from retaliation.</w:t>
      </w:r>
    </w:p>
    <w:bookmarkEnd w:id="31"/>
    <w:bookmarkEnd w:id="32"/>
    <w:bookmarkStart w:id="33" w:name="conclusion"/>
    <w:p>
      <w:pPr>
        <w:pStyle w:val="Heading2"/>
      </w:pPr>
      <w:r>
        <w:t xml:space="preserve">Conclusion</w:t>
      </w:r>
    </w:p>
    <w:p>
      <w:pPr>
        <w:pStyle w:val="FirstParagraph"/>
      </w:pPr>
      <w:r>
        <w:t xml:space="preserve">This essay has argued that risk perception constitutes a critical yet frequently neglected dimension of project management in complex environments. Drawing on psychological research and case studies from diverse domains, the analysis demonstrates that cognitive biases—including availability bias, confirmation bias, optimism bias, and loss aversion—systematically distort stakeholders’ interpretation of hazards, often with catastrophic consequences. The Challenger disaster, 2008 financial crisis, infrastructure megaproject failures, and COVID-19 responses all illustrate how gaps between perceived and objective risk shape implementation outcomes, determining whether projects succeed or fail.</w:t>
      </w:r>
    </w:p>
    <w:p>
      <w:pPr>
        <w:pStyle w:val="BodyText"/>
      </w:pPr>
      <w:r>
        <w:t xml:space="preserve">These findings carry significant implications for practice. Effective risk management in complex environments requires moving beyond technical probabilistic analysis to address the psychological and social dimensions of risk interpretation. Strategies including cognitive diversity, structured decision-making tools, transparent risk communication, and psychologically safe organisational cultures can mitigate the distorting effects of cognitive biases and align stakeholder understanding with operational realities. As projects increasingly operate within complex adaptive systems characterised by uncertainty and emergent properties, the ability to manage risk perception may prove as important as the ability to manage risk itself. Future research should continue developing and evaluating interventions that bridge the gap between how humans perceive risk and how projects actually unfold in an unpredictable world.</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Bavel, J. J. V., Baicker, K., Boggio, P. S., Capraro, V., Cichocka, A., Cikara, M., … &amp; Willer, R. (2020). Using social and behavioural science to support COVID-19 pandemic response.</w:t>
      </w:r>
      <w:r>
        <w:t xml:space="preserve"> </w:t>
      </w:r>
      <w:r>
        <w:rPr>
          <w:iCs/>
          <w:i/>
        </w:rPr>
        <w:t xml:space="preserve">Nature Human Behaviour</w:t>
      </w:r>
      <w:r>
        <w:t xml:space="preserve">, 4(5), 460-471.</w:t>
      </w:r>
    </w:p>
    <w:p>
      <w:pPr>
        <w:pStyle w:val="BodyText"/>
      </w:pPr>
      <w:r>
        <w:t xml:space="preserve">Casscells, W., Gerrity, E., &amp; Smith, J. (2007). Red teaming the terrorist threat.</w:t>
      </w:r>
      <w:r>
        <w:t xml:space="preserve"> </w:t>
      </w:r>
      <w:r>
        <w:rPr>
          <w:iCs/>
          <w:i/>
        </w:rPr>
        <w:t xml:space="preserve">Studies in Intelligence</w:t>
      </w:r>
      <w:r>
        <w:t xml:space="preserve">, 51(2), 1-8.</w:t>
      </w:r>
    </w:p>
    <w:p>
      <w:pPr>
        <w:pStyle w:val="BodyText"/>
      </w:pPr>
      <w:r>
        <w:t xml:space="preserve">Douglas, M., &amp; Wildavsky, A. (1982).</w:t>
      </w:r>
      <w:r>
        <w:t xml:space="preserve"> </w:t>
      </w:r>
      <w:r>
        <w:rPr>
          <w:iCs/>
          <w:i/>
        </w:rPr>
        <w:t xml:space="preserve">Risk and culture: An essay on the selection of technological and environmental dangers</w:t>
      </w:r>
      <w:r>
        <w:t xml:space="preserve">. University of California Press.</w:t>
      </w:r>
    </w:p>
    <w:p>
      <w:pPr>
        <w:pStyle w:val="BodyText"/>
      </w:pPr>
      <w:r>
        <w:t xml:space="preserve">Edmondson, A. (1999). Psychological safety and learning behavior in work teams.</w:t>
      </w:r>
      <w:r>
        <w:t xml:space="preserve"> </w:t>
      </w:r>
      <w:r>
        <w:rPr>
          <w:iCs/>
          <w:i/>
        </w:rPr>
        <w:t xml:space="preserve">Administrative Science Quarterly</w:t>
      </w:r>
      <w:r>
        <w:t xml:space="preserve">, 44(2), 350-383.</w:t>
      </w:r>
    </w:p>
    <w:p>
      <w:pPr>
        <w:pStyle w:val="BodyText"/>
      </w:pPr>
      <w:r>
        <w:t xml:space="preserve">Flyvbjerg, B. (2008). Curbing optimism bias and strategic misrepresentation in planning: Reference class forecasting in practice.</w:t>
      </w:r>
      <w:r>
        <w:t xml:space="preserve"> </w:t>
      </w:r>
      <w:r>
        <w:rPr>
          <w:iCs/>
          <w:i/>
        </w:rPr>
        <w:t xml:space="preserve">European Planning Studies</w:t>
      </w:r>
      <w:r>
        <w:t xml:space="preserve">, 16(1), 3-21.</w:t>
      </w:r>
    </w:p>
    <w:p>
      <w:pPr>
        <w:pStyle w:val="BodyText"/>
      </w:pPr>
      <w:r>
        <w:t xml:space="preserve">Flyvbjerg, B. (2014). What you should know about megaprojects and why: An overview.</w:t>
      </w:r>
      <w:r>
        <w:t xml:space="preserve"> </w:t>
      </w:r>
      <w:r>
        <w:rPr>
          <w:iCs/>
          <w:i/>
        </w:rPr>
        <w:t xml:space="preserve">Project Management Journal</w:t>
      </w:r>
      <w:r>
        <w:t xml:space="preserve">, 45(2), 6-19.</w:t>
      </w:r>
    </w:p>
    <w:p>
      <w:pPr>
        <w:pStyle w:val="BodyText"/>
      </w:pPr>
      <w:r>
        <w:t xml:space="preserve">Gawande, A. (2009).</w:t>
      </w:r>
      <w:r>
        <w:t xml:space="preserve"> </w:t>
      </w:r>
      <w:r>
        <w:rPr>
          <w:iCs/>
          <w:i/>
        </w:rPr>
        <w:t xml:space="preserve">The checklist manifesto: How to get things right</w:t>
      </w:r>
      <w:r>
        <w:t xml:space="preserve">. Metropolitan Books.</w:t>
      </w:r>
    </w:p>
    <w:p>
      <w:pPr>
        <w:pStyle w:val="BodyText"/>
      </w:pPr>
      <w:r>
        <w:t xml:space="preserve">Kahneman, D. (2011).</w:t>
      </w:r>
      <w:r>
        <w:t xml:space="preserve"> </w:t>
      </w:r>
      <w:r>
        <w:rPr>
          <w:iCs/>
          <w:i/>
        </w:rPr>
        <w:t xml:space="preserve">Thinking, fast and slow</w:t>
      </w:r>
      <w:r>
        <w:t xml:space="preserve">. Farrar, Straus and Giroux.</w:t>
      </w:r>
    </w:p>
    <w:p>
      <w:pPr>
        <w:pStyle w:val="BodyText"/>
      </w:pPr>
      <w:r>
        <w:t xml:space="preserve">Kahneman, D., &amp; Tversky, A. (1979). Prospect theory: An analysis of decision under risk.</w:t>
      </w:r>
      <w:r>
        <w:t xml:space="preserve"> </w:t>
      </w:r>
      <w:r>
        <w:rPr>
          <w:iCs/>
          <w:i/>
        </w:rPr>
        <w:t xml:space="preserve">Econometrica</w:t>
      </w:r>
      <w:r>
        <w:t xml:space="preserve">, 47(2), 263-291.</w:t>
      </w:r>
    </w:p>
    <w:p>
      <w:pPr>
        <w:pStyle w:val="BodyText"/>
      </w:pPr>
      <w:r>
        <w:t xml:space="preserve">Klein, G. (2007). Performing a project premortem.</w:t>
      </w:r>
      <w:r>
        <w:t xml:space="preserve"> </w:t>
      </w:r>
      <w:r>
        <w:rPr>
          <w:iCs/>
          <w:i/>
        </w:rPr>
        <w:t xml:space="preserve">Harvard Business Review</w:t>
      </w:r>
      <w:r>
        <w:t xml:space="preserve">, 85(9), 18-19.</w:t>
      </w:r>
    </w:p>
    <w:p>
      <w:pPr>
        <w:pStyle w:val="BodyText"/>
      </w:pPr>
      <w:r>
        <w:t xml:space="preserve">Slovic, P. (1987). Perception of risk.</w:t>
      </w:r>
      <w:r>
        <w:t xml:space="preserve"> </w:t>
      </w:r>
      <w:r>
        <w:rPr>
          <w:iCs/>
          <w:i/>
        </w:rPr>
        <w:t xml:space="preserve">Science</w:t>
      </w:r>
      <w:r>
        <w:t xml:space="preserve">, 236(4799), 280-285.</w:t>
      </w:r>
    </w:p>
    <w:p>
      <w:pPr>
        <w:pStyle w:val="BodyText"/>
      </w:pPr>
      <w:r>
        <w:t xml:space="preserve">Slovic, P., Finucane, M. L., Peters, E., &amp; MacGregor, D. G. (2004). Risk as analysis and risk as feelings: Some thoughts about affect, reason, risk, and rationality.</w:t>
      </w:r>
      <w:r>
        <w:t xml:space="preserve"> </w:t>
      </w:r>
      <w:r>
        <w:rPr>
          <w:iCs/>
          <w:i/>
        </w:rPr>
        <w:t xml:space="preserve">Risk Analysis</w:t>
      </w:r>
      <w:r>
        <w:t xml:space="preserve">, 24(2), 311-322.</w:t>
      </w:r>
    </w:p>
    <w:p>
      <w:pPr>
        <w:pStyle w:val="BodyText"/>
      </w:pPr>
      <w:r>
        <w:t xml:space="preserve">Snowden, D. J., &amp; Boone, M. E. (2007). A leader’s framework for decision making.</w:t>
      </w:r>
      <w:r>
        <w:t xml:space="preserve"> </w:t>
      </w:r>
      <w:r>
        <w:rPr>
          <w:iCs/>
          <w:i/>
        </w:rPr>
        <w:t xml:space="preserve">Harvard Business Review</w:t>
      </w:r>
      <w:r>
        <w:t xml:space="preserve">, 85(11), 68-76.</w:t>
      </w:r>
    </w:p>
    <w:p>
      <w:pPr>
        <w:pStyle w:val="BodyText"/>
      </w:pPr>
      <w:r>
        <w:t xml:space="preserve">Taleb, N. N. (2007).</w:t>
      </w:r>
      <w:r>
        <w:t xml:space="preserve"> </w:t>
      </w:r>
      <w:r>
        <w:rPr>
          <w:iCs/>
          <w:i/>
        </w:rPr>
        <w:t xml:space="preserve">The black swan: The impact of the highly improbable</w:t>
      </w:r>
      <w:r>
        <w:t xml:space="preserve">. Random House.</w:t>
      </w:r>
    </w:p>
    <w:p>
      <w:pPr>
        <w:pStyle w:val="BodyText"/>
      </w:pPr>
      <w:r>
        <w:t xml:space="preserve">Vaughan, D. (1996).</w:t>
      </w:r>
      <w:r>
        <w:t xml:space="preserve"> </w:t>
      </w:r>
      <w:r>
        <w:rPr>
          <w:iCs/>
          <w:i/>
        </w:rPr>
        <w:t xml:space="preserve">The Challenger launch decision: Risky technology, culture, and deviance at NASA</w:t>
      </w:r>
      <w:r>
        <w:t xml:space="preserve">. University of Chicago Press.</w:t>
      </w:r>
    </w:p>
    <w:p>
      <w:r>
        <w:pict>
          <v:rect style="width:0;height:1.5pt" o:hralign="center" o:hrstd="t" o:hr="t"/>
        </w:pict>
      </w:r>
    </w:p>
    <w:p>
      <w:pPr>
        <w:pStyle w:val="FirstParagraph"/>
      </w:pPr>
      <w:r>
        <w:rPr>
          <w:bCs/>
          <w:b/>
        </w:rPr>
        <w:t xml:space="preserve">Word Count:</w:t>
      </w:r>
      <w:r>
        <w:t xml:space="preserve"> </w:t>
      </w:r>
      <w:r>
        <w:t xml:space="preserve">2,180 words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2026-03-21T01:35:12Z</dcterms:created>
  <dcterms:modified xsi:type="dcterms:W3CDTF">2026-03-21T01:35:12Z</dcterms:modified>
</cp:coreProperties>
</file>

<file path=docProps/custom.xml><?xml version="1.0" encoding="utf-8"?>
<Properties xmlns="http://schemas.openxmlformats.org/officeDocument/2006/custom-properties" xmlns:vt="http://schemas.openxmlformats.org/officeDocument/2006/docPropsVTypes"/>
</file>