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46C824">
      <w:pPr>
        <w:pStyle w:val="3"/>
      </w:pPr>
      <w:r>
        <w:rPr>
          <w:lang w:val="en-US"/>
        </w:rPr>
        <w:t>FigForge</w:t>
      </w:r>
      <w:r>
        <w:t xml:space="preserve"> 科研可视化与图件生产平台需求文档（完整版）</w:t>
      </w:r>
    </w:p>
    <w:p w14:paraId="35D6A4F3">
      <w:pPr>
        <w:pStyle w:val="4"/>
      </w:pPr>
      <w:r>
        <w:t>一、项目背景</w:t>
      </w:r>
    </w:p>
    <w:p w14:paraId="5D1D0C33">
      <w:r>
        <w:t>在当前生物信息学与医学科研实践中，分析计算高度依赖 R/Python，而图件制作仍大量依赖 Photoshop、Illustrator 或 PowerPoint 进行手工拼版。该流程存在效率低、不可复现、返工成本高、图件风格不统一等系统性问题。</w:t>
      </w:r>
      <w:r>
        <w:br w:type="textWrapping"/>
      </w:r>
      <w:r>
        <w:br w:type="textWrapping"/>
      </w:r>
      <w:r>
        <w:rPr>
          <w:lang w:val="en-US"/>
        </w:rPr>
        <w:t>FigForge</w:t>
      </w:r>
      <w:r>
        <w:t xml:space="preserve"> 旨在构建一套面向科研的图件生产平台，通过工程化方式重构“分析 → 作图 → 排版 → 投稿导出”的完整流程。</w:t>
      </w:r>
    </w:p>
    <w:p w14:paraId="7E4DD4B7">
      <w:pPr>
        <w:pStyle w:val="4"/>
      </w:pPr>
      <w:r>
        <w:t>二、产品定位与目标</w:t>
      </w:r>
    </w:p>
    <w:p w14:paraId="6385E8C8">
      <w:r>
        <w:t xml:space="preserve">产品定位：面向生物信息学与医学科研的 </w:t>
      </w:r>
      <w:bookmarkStart w:id="0" w:name="_GoBack"/>
      <w:bookmarkEnd w:id="0"/>
      <w:r>
        <w:t>Figure Factory（图件生产平台）。</w:t>
      </w:r>
      <w:r>
        <w:br w:type="textWrapping"/>
      </w:r>
      <w:r>
        <w:br w:type="textWrapping"/>
      </w:r>
      <w:r>
        <w:t>核心目标：</w:t>
      </w:r>
      <w:r>
        <w:br w:type="textWrapping"/>
      </w:r>
      <w:r>
        <w:t>1）将生信分析与图件排版解耦；</w:t>
      </w:r>
      <w:r>
        <w:br w:type="textWrapping"/>
      </w:r>
      <w:r>
        <w:t>2）以本地 R 计算为起点，控制早期成本；</w:t>
      </w:r>
      <w:r>
        <w:br w:type="textWrapping"/>
      </w:r>
      <w:r>
        <w:t>3）通过前端交互式排版替代 Photoshop；</w:t>
      </w:r>
      <w:r>
        <w:br w:type="textWrapping"/>
      </w:r>
      <w:r>
        <w:t>4）支持未来无痛迁移至服务器计算；</w:t>
      </w:r>
      <w:r>
        <w:br w:type="textWrapping"/>
      </w:r>
      <w:r>
        <w:t>5）最终实现图件输出的可复现、可规范、可规模化。</w:t>
      </w:r>
    </w:p>
    <w:p w14:paraId="6D2291AC">
      <w:pPr>
        <w:pStyle w:val="4"/>
      </w:pPr>
      <w:r>
        <w:t>三、总体设计原则</w:t>
      </w:r>
    </w:p>
    <w:p w14:paraId="5D15CFA1">
      <w:r>
        <w:t>1）分层架构：计算层、渲染层、排版层、导出层相互解耦；</w:t>
      </w:r>
      <w:r>
        <w:br w:type="textWrapping"/>
      </w:r>
      <w:r>
        <w:t>2）本地优先：默认在用户本机运行分析；</w:t>
      </w:r>
      <w:r>
        <w:br w:type="textWrapping"/>
      </w:r>
      <w:r>
        <w:t>3）协议驱动：统一 Job 输入/输出规范；</w:t>
      </w:r>
      <w:r>
        <w:br w:type="textWrapping"/>
      </w:r>
      <w:r>
        <w:t>4）渐进演进：允许逐步替换渲染引擎；</w:t>
      </w:r>
      <w:r>
        <w:br w:type="textWrapping"/>
      </w:r>
      <w:r>
        <w:t>5）科研友好：严格对齐 SCI 期刊图件规范。</w:t>
      </w:r>
    </w:p>
    <w:p w14:paraId="6EFCDF4C">
      <w:pPr>
        <w:pStyle w:val="4"/>
      </w:pPr>
      <w:r>
        <w:t>四、系统架构概述</w:t>
      </w:r>
    </w:p>
    <w:p w14:paraId="7810FED0">
      <w:r>
        <w:t>系统由四个核心模块组成：</w:t>
      </w:r>
      <w:r>
        <w:br w:type="textWrapping"/>
      </w:r>
      <w:r>
        <w:t>1）计算引擎（Analysis Engine）：以 R 为核心的分析 pipeline；</w:t>
      </w:r>
      <w:r>
        <w:br w:type="textWrapping"/>
      </w:r>
      <w:r>
        <w:t>2）渲染引擎（Rendering Engine）：用于生成单 panel 图件；</w:t>
      </w:r>
      <w:r>
        <w:br w:type="textWrapping"/>
      </w:r>
      <w:r>
        <w:t>3）排版编辑器（Layout Editor）：前端交互式拼版与标注；</w:t>
      </w:r>
      <w:r>
        <w:br w:type="textWrapping"/>
      </w:r>
      <w:r>
        <w:t>4）导出引擎（Export Engine）：生成投稿级文件。</w:t>
      </w:r>
      <w:r>
        <w:br w:type="textWrapping"/>
      </w:r>
      <w:r>
        <w:br w:type="textWrapping"/>
      </w:r>
      <w:r>
        <w:t>各模块通过标准化数据协议连接，可独立演进。</w:t>
      </w:r>
    </w:p>
    <w:p w14:paraId="0852F00B">
      <w:pPr>
        <w:pStyle w:val="4"/>
      </w:pPr>
      <w:r>
        <w:t>五、计算引擎需求（Analysis Engine）</w:t>
      </w:r>
    </w:p>
    <w:p w14:paraId="72792275">
      <w:r>
        <w:t>1）支持调用用户本机 R / Rscript；</w:t>
      </w:r>
      <w:r>
        <w:br w:type="textWrapping"/>
      </w:r>
      <w:r>
        <w:t>2）支持多 pipeline（单细胞、bulk、显微图等）；</w:t>
      </w:r>
      <w:r>
        <w:br w:type="textWrapping"/>
      </w:r>
      <w:r>
        <w:t>3）支持 pipeline 版本化（pipeline_id）；</w:t>
      </w:r>
      <w:r>
        <w:br w:type="textWrapping"/>
      </w:r>
      <w:r>
        <w:t>4）支持 JSON 参数输入；</w:t>
      </w:r>
      <w:r>
        <w:br w:type="textWrapping"/>
      </w:r>
      <w:r>
        <w:t>5）支持进度回传与日志输出；</w:t>
      </w:r>
      <w:r>
        <w:br w:type="textWrapping"/>
      </w:r>
      <w:r>
        <w:t>6）统一输出目录结构：</w:t>
      </w:r>
      <w:r>
        <w:br w:type="textWrapping"/>
      </w:r>
      <w:r>
        <w:t xml:space="preserve">   - result.json</w:t>
      </w:r>
      <w:r>
        <w:br w:type="textWrapping"/>
      </w:r>
      <w:r>
        <w:t xml:space="preserve">   - panels/*.svg</w:t>
      </w:r>
      <w:r>
        <w:br w:type="textWrapping"/>
      </w:r>
      <w:r>
        <w:t xml:space="preserve">   - tables/*.csv</w:t>
      </w:r>
      <w:r>
        <w:br w:type="textWrapping"/>
      </w:r>
      <w:r>
        <w:t xml:space="preserve">   - artifacts.json</w:t>
      </w:r>
      <w:r>
        <w:br w:type="textWrapping"/>
      </w:r>
      <w:r>
        <w:t>7）保证同输入同参数结果结构一致。</w:t>
      </w:r>
    </w:p>
    <w:p w14:paraId="10753DA6">
      <w:pPr>
        <w:pStyle w:val="4"/>
      </w:pPr>
      <w:r>
        <w:t>六、渲染引擎需求（Rendering Engine）</w:t>
      </w:r>
    </w:p>
    <w:p w14:paraId="56647AB9">
      <w:r>
        <w:t>采用分阶段策略：</w:t>
      </w:r>
      <w:r>
        <w:br w:type="textWrapping"/>
      </w:r>
      <w:r>
        <w:br w:type="textWrapping"/>
      </w:r>
      <w:r>
        <w:t>阶段一：R/ggplot 输出 SVG</w:t>
      </w:r>
      <w:r>
        <w:br w:type="textWrapping"/>
      </w:r>
      <w:r>
        <w:t>- 确保分析结果的可信性与科研接受度；</w:t>
      </w:r>
      <w:r>
        <w:br w:type="textWrapping"/>
      </w:r>
      <w:r>
        <w:br w:type="textWrapping"/>
      </w:r>
      <w:r>
        <w:t>阶段二：前端渲染（可选）</w:t>
      </w:r>
      <w:r>
        <w:br w:type="textWrapping"/>
      </w:r>
      <w:r>
        <w:t>- 对高频图形（UMAP、volcano、QC）支持前端重绘；</w:t>
      </w:r>
      <w:r>
        <w:br w:type="textWrapping"/>
      </w:r>
      <w:r>
        <w:t>- 输入为标准化中间数据（JSON）；</w:t>
      </w:r>
      <w:r>
        <w:br w:type="textWrapping"/>
      </w:r>
      <w:r>
        <w:br w:type="textWrapping"/>
      </w:r>
      <w:r>
        <w:t>阶段三：多渲染器并存</w:t>
      </w:r>
      <w:r>
        <w:br w:type="textWrapping"/>
      </w:r>
      <w:r>
        <w:t>- ggplot / Plotly / ECharts / Vega 等并行支持；</w:t>
      </w:r>
      <w:r>
        <w:br w:type="textWrapping"/>
      </w:r>
      <w:r>
        <w:t>- 排版层对渲染器无感知。</w:t>
      </w:r>
    </w:p>
    <w:p w14:paraId="279A2EC3">
      <w:pPr>
        <w:pStyle w:val="4"/>
      </w:pPr>
      <w:r>
        <w:t>七、排版编辑器需求（Layout Editor）</w:t>
      </w:r>
    </w:p>
    <w:p w14:paraId="4C033CE6">
      <w:r>
        <w:t>1）支持 SVG/PNG/TIFF 等多种 panel 类型；</w:t>
      </w:r>
      <w:r>
        <w:br w:type="textWrapping"/>
      </w:r>
      <w:r>
        <w:t>2）支持多 panel 画布（A/B/C…）；</w:t>
      </w:r>
      <w:r>
        <w:br w:type="textWrapping"/>
      </w:r>
      <w:r>
        <w:t>3）支持拖拽、缩放、裁剪、旋转；</w:t>
      </w:r>
      <w:r>
        <w:br w:type="textWrapping"/>
      </w:r>
      <w:r>
        <w:t>4）支持自动对齐、吸附、等间距；</w:t>
      </w:r>
      <w:r>
        <w:br w:type="textWrapping"/>
      </w:r>
      <w:r>
        <w:t>5）支持自动 panel 标号；</w:t>
      </w:r>
      <w:r>
        <w:br w:type="textWrapping"/>
      </w:r>
      <w:r>
        <w:t>6）支持文本、箭头、比例尺等标注；</w:t>
      </w:r>
      <w:r>
        <w:br w:type="textWrapping"/>
      </w:r>
      <w:r>
        <w:t>7）支持全局字体、字号、线宽控制；</w:t>
      </w:r>
      <w:r>
        <w:br w:type="textWrapping"/>
      </w:r>
      <w:r>
        <w:t>8）支持保存与恢复排版状态（layout.json）；</w:t>
      </w:r>
      <w:r>
        <w:br w:type="textWrapping"/>
      </w:r>
      <w:r>
        <w:t>9）所有排版操作不触发重新计算。</w:t>
      </w:r>
    </w:p>
    <w:p w14:paraId="424E1EF0">
      <w:pPr>
        <w:pStyle w:val="4"/>
      </w:pPr>
      <w:r>
        <w:t>八、导出引擎需求（Export Engine）</w:t>
      </w:r>
    </w:p>
    <w:p w14:paraId="00349A99">
      <w:r>
        <w:t>1）支持 SVG / PDF 矢量导出；</w:t>
      </w:r>
      <w:r>
        <w:br w:type="textWrapping"/>
      </w:r>
      <w:r>
        <w:t>2）支持 PNG / TIFF 位图导出；</w:t>
      </w:r>
      <w:r>
        <w:br w:type="textWrapping"/>
      </w:r>
      <w:r>
        <w:t>3）支持 300 dpi / 600 dpi；</w:t>
      </w:r>
      <w:r>
        <w:br w:type="textWrapping"/>
      </w:r>
      <w:r>
        <w:t>4）支持期刊模板（Nature 单/双栏）；</w:t>
      </w:r>
      <w:r>
        <w:br w:type="textWrapping"/>
      </w:r>
      <w:r>
        <w:t>5）支持字体嵌入与颜色规范；</w:t>
      </w:r>
      <w:r>
        <w:br w:type="textWrapping"/>
      </w:r>
      <w:r>
        <w:t>6）支持一键导出投稿版本。</w:t>
      </w:r>
    </w:p>
    <w:p w14:paraId="4CF91E87">
      <w:pPr>
        <w:pStyle w:val="4"/>
      </w:pPr>
      <w:r>
        <w:t>九、性能与用户体验要求</w:t>
      </w:r>
    </w:p>
    <w:p w14:paraId="608CA2C4">
      <w:r>
        <w:t>1）分析计算与 UI 渲染分离；</w:t>
      </w:r>
      <w:r>
        <w:br w:type="textWrapping"/>
      </w:r>
      <w:r>
        <w:t>2）支持任务队列、取消、失败恢复；</w:t>
      </w:r>
      <w:r>
        <w:br w:type="textWrapping"/>
      </w:r>
      <w:r>
        <w:t>3）支持大文件与高分辨率图像；</w:t>
      </w:r>
      <w:r>
        <w:br w:type="textWrapping"/>
      </w:r>
      <w:r>
        <w:t>4）支持实时进度与日志查看；</w:t>
      </w:r>
      <w:r>
        <w:br w:type="textWrapping"/>
      </w:r>
      <w:r>
        <w:t>5）界面交互需保持毫秒级响应。</w:t>
      </w:r>
    </w:p>
    <w:p w14:paraId="13371492">
      <w:pPr>
        <w:pStyle w:val="4"/>
      </w:pPr>
      <w:r>
        <w:t>十、产品演进路线</w:t>
      </w:r>
    </w:p>
    <w:p w14:paraId="5BBF260B">
      <w:r>
        <w:t>阶段 A：本地单机版（当前）</w:t>
      </w:r>
      <w:r>
        <w:br w:type="textWrapping"/>
      </w:r>
      <w:r>
        <w:t>- 桌面端 + 本地 R + 排版器</w:t>
      </w:r>
      <w:r>
        <w:br w:type="textWrapping"/>
      </w:r>
      <w:r>
        <w:br w:type="textWrapping"/>
      </w:r>
      <w:r>
        <w:t>阶段 B：混合模式</w:t>
      </w:r>
      <w:r>
        <w:br w:type="textWrapping"/>
      </w:r>
      <w:r>
        <w:t>- 本地计算 + 服务器计算可选</w:t>
      </w:r>
      <w:r>
        <w:br w:type="textWrapping"/>
      </w:r>
      <w:r>
        <w:br w:type="textWrapping"/>
      </w:r>
      <w:r>
        <w:t>阶段 C：云端产品</w:t>
      </w:r>
      <w:r>
        <w:br w:type="textWrapping"/>
      </w:r>
      <w:r>
        <w:t>- 容器化 pipeline</w:t>
      </w:r>
      <w:r>
        <w:br w:type="textWrapping"/>
      </w:r>
      <w:r>
        <w:t>- 多用户、权限、配额、审计</w:t>
      </w:r>
      <w:r>
        <w:br w:type="textWrapping"/>
      </w:r>
      <w:r>
        <w:br w:type="textWrapping"/>
      </w:r>
      <w:r>
        <w:t>始终保留本地模式以满足隐私与合规需求。</w:t>
      </w:r>
    </w:p>
    <w:p w14:paraId="06EBDF92">
      <w:pPr>
        <w:pStyle w:val="4"/>
      </w:pPr>
      <w:r>
        <w:t>十一、目标用户与应用场景</w:t>
      </w:r>
    </w:p>
    <w:p w14:paraId="1C062918">
      <w:r>
        <w:t>目标用户：</w:t>
      </w:r>
      <w:r>
        <w:br w:type="textWrapping"/>
      </w:r>
      <w:r>
        <w:t>- 生物信息学研究人员</w:t>
      </w:r>
      <w:r>
        <w:br w:type="textWrapping"/>
      </w:r>
      <w:r>
        <w:t>- 临床科研医生</w:t>
      </w:r>
      <w:r>
        <w:br w:type="textWrapping"/>
      </w:r>
      <w:r>
        <w:t>- 研究生与实验室技术人员</w:t>
      </w:r>
      <w:r>
        <w:br w:type="textWrapping"/>
      </w:r>
      <w:r>
        <w:br w:type="textWrapping"/>
      </w:r>
      <w:r>
        <w:t>应用场景：</w:t>
      </w:r>
      <w:r>
        <w:br w:type="textWrapping"/>
      </w:r>
      <w:r>
        <w:t>- SCI 论文图件制作</w:t>
      </w:r>
      <w:r>
        <w:br w:type="textWrapping"/>
      </w:r>
      <w:r>
        <w:t>- 基金与课题汇报</w:t>
      </w:r>
      <w:r>
        <w:br w:type="textWrapping"/>
      </w:r>
      <w:r>
        <w:t>- 多组学结果可视化</w:t>
      </w:r>
      <w:r>
        <w:br w:type="textWrapping"/>
      </w:r>
      <w:r>
        <w:t>- 显微/WB/IF 图像拼版</w:t>
      </w:r>
    </w:p>
    <w:p w14:paraId="402D58D3">
      <w:pPr>
        <w:pStyle w:val="4"/>
      </w:pPr>
      <w:r>
        <w:t>十二、价值总结</w:t>
      </w:r>
    </w:p>
    <w:p w14:paraId="32A13953">
      <w:r>
        <w:rPr>
          <w:lang w:val="en-US"/>
        </w:rPr>
        <w:t>FigForge</w:t>
      </w:r>
      <w:r>
        <w:t xml:space="preserve"> 通过引入工程化、产品化思维，系统性解决科研图件生产中的效率与复现问题。</w:t>
      </w:r>
      <w:r>
        <w:br w:type="textWrapping"/>
      </w:r>
      <w:r>
        <w:t>它不是简单的画图工具，而是科研生产流程中的关键基础设施。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BE3DD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Office_12.1.21937.21937_F1E327BC-269C-435d-A152-05C5408002CA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钟传杰</cp:lastModifiedBy>
  <dcterms:modified xsi:type="dcterms:W3CDTF">2026-01-13T14:07:32Z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2052-12.1.21937.21937</vt:lpwstr>
  </property>
  <property fmtid="{D5CDD505-2E9C-101B-9397-08002B2CF9AE}" pid="3" name="ICV">
    <vt:lpwstr>2ECED975A581E9B824E1656950AA5942_42</vt:lpwstr>
  </property>
</Properties>
</file>