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35" w:rsidRDefault="005643B7">
      <w:r>
        <w:rPr>
          <w:noProof/>
        </w:rPr>
        <w:drawing>
          <wp:inline distT="0" distB="0" distL="0" distR="0" wp14:anchorId="1EBB1A0F" wp14:editId="1F407F35">
            <wp:extent cx="4659945" cy="4481336"/>
            <wp:effectExtent l="0" t="0" r="762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D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0E"/>
    <w:rsid w:val="001D7C35"/>
    <w:rsid w:val="005643B7"/>
    <w:rsid w:val="00680633"/>
    <w:rsid w:val="009C7C0E"/>
    <w:rsid w:val="00FF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200C6-2B3C-4A20-8360-8061F0AF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huan\git\3DRepetitionBenchmark2015\resultsSmooth\QNT_Standard_IQmulus_TerraMobili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EM+SC</c:v>
                </c:pt>
              </c:strCache>
            </c:strRef>
          </c:tx>
          <c:spPr>
            <a:ln w="28575" cap="rnd">
              <a:solidFill>
                <a:srgbClr val="C0000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>
                  <a:alpha val="0"/>
                </a:srgbClr>
              </a:solidFill>
              <a:ln w="28575">
                <a:solidFill>
                  <a:srgbClr val="C0000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C00000"/>
                </a:solidFill>
                <a:prstDash val="solid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0.96</c:v>
                </c:pt>
                <c:pt idx="2">
                  <c:v>0.93</c:v>
                </c:pt>
                <c:pt idx="3">
                  <c:v>0.91</c:v>
                </c:pt>
                <c:pt idx="4">
                  <c:v>0.88</c:v>
                </c:pt>
                <c:pt idx="5">
                  <c:v>0.85</c:v>
                </c:pt>
                <c:pt idx="6">
                  <c:v>0.8</c:v>
                </c:pt>
                <c:pt idx="7">
                  <c:v>0.76</c:v>
                </c:pt>
                <c:pt idx="8">
                  <c:v>0.62</c:v>
                </c:pt>
                <c:pt idx="9">
                  <c:v>0.38</c:v>
                </c:pt>
                <c:pt idx="10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Grasp</c:v>
                </c:pt>
              </c:strCache>
            </c:strRef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0"/>
                </a:schemeClr>
              </a:solidFill>
              <a:ln w="28575">
                <a:solidFill>
                  <a:schemeClr val="accent1">
                    <a:alpha val="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3175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1</c:v>
                </c:pt>
                <c:pt idx="1">
                  <c:v>0.92</c:v>
                </c:pt>
                <c:pt idx="2">
                  <c:v>0.87</c:v>
                </c:pt>
                <c:pt idx="3">
                  <c:v>0.84</c:v>
                </c:pt>
                <c:pt idx="4">
                  <c:v>0.76</c:v>
                </c:pt>
                <c:pt idx="5">
                  <c:v>0.72</c:v>
                </c:pt>
                <c:pt idx="6">
                  <c:v>0.66</c:v>
                </c:pt>
                <c:pt idx="7">
                  <c:v>0.59</c:v>
                </c:pt>
                <c:pt idx="8">
                  <c:v>0.49</c:v>
                </c:pt>
                <c:pt idx="9">
                  <c:v>0.34</c:v>
                </c:pt>
                <c:pt idx="10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DL+SC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  <a:alpha val="0"/>
                </a:schemeClr>
              </a:solidFill>
              <a:ln w="28575">
                <a:solidFill>
                  <a:schemeClr val="accent6">
                    <a:lumMod val="75000"/>
                    <a:alpha val="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6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1</c:v>
                </c:pt>
                <c:pt idx="1">
                  <c:v>0.93</c:v>
                </c:pt>
                <c:pt idx="2">
                  <c:v>0.88</c:v>
                </c:pt>
                <c:pt idx="3">
                  <c:v>0.85</c:v>
                </c:pt>
                <c:pt idx="4">
                  <c:v>0.79</c:v>
                </c:pt>
                <c:pt idx="5">
                  <c:v>0.74</c:v>
                </c:pt>
                <c:pt idx="6">
                  <c:v>0.7</c:v>
                </c:pt>
                <c:pt idx="7">
                  <c:v>0.64</c:v>
                </c:pt>
                <c:pt idx="8">
                  <c:v>0.53</c:v>
                </c:pt>
                <c:pt idx="9">
                  <c:v>0.35</c:v>
                </c:pt>
                <c:pt idx="10">
                  <c:v>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2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0"/>
                </a:schemeClr>
              </a:solidFill>
              <a:ln w="28575">
                <a:solidFill>
                  <a:schemeClr val="accent2">
                    <a:alpha val="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1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1</c:v>
                </c:pt>
                <c:pt idx="1">
                  <c:v>0.86</c:v>
                </c:pt>
                <c:pt idx="2">
                  <c:v>0.8</c:v>
                </c:pt>
                <c:pt idx="3">
                  <c:v>0.7</c:v>
                </c:pt>
                <c:pt idx="4">
                  <c:v>0.62</c:v>
                </c:pt>
                <c:pt idx="5">
                  <c:v>0.56999999999999995</c:v>
                </c:pt>
                <c:pt idx="6">
                  <c:v>0.54</c:v>
                </c:pt>
                <c:pt idx="7">
                  <c:v>0.5</c:v>
                </c:pt>
                <c:pt idx="8">
                  <c:v>0.42</c:v>
                </c:pt>
                <c:pt idx="9">
                  <c:v>0.18</c:v>
                </c:pt>
                <c:pt idx="10">
                  <c:v>0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RigidICP</c:v>
                </c:pt>
              </c:strCache>
            </c:strRef>
          </c:tx>
          <c:spPr>
            <a:ln w="28575" cap="rnd">
              <a:solidFill>
                <a:srgbClr val="7030A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>
                  <a:alpha val="0"/>
                </a:srgbClr>
              </a:solidFill>
              <a:ln w="28575">
                <a:solidFill>
                  <a:srgbClr val="7030A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7030A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Sheet1!$F$2:$F$12</c:f>
              <c:numCache>
                <c:formatCode>General</c:formatCode>
                <c:ptCount val="11"/>
                <c:pt idx="0">
                  <c:v>1</c:v>
                </c:pt>
                <c:pt idx="1">
                  <c:v>0.92</c:v>
                </c:pt>
                <c:pt idx="2">
                  <c:v>0.83</c:v>
                </c:pt>
                <c:pt idx="3">
                  <c:v>0.72</c:v>
                </c:pt>
                <c:pt idx="4">
                  <c:v>0.59</c:v>
                </c:pt>
                <c:pt idx="5">
                  <c:v>0.53</c:v>
                </c:pt>
                <c:pt idx="6">
                  <c:v>0.48</c:v>
                </c:pt>
                <c:pt idx="7">
                  <c:v>0.43</c:v>
                </c:pt>
                <c:pt idx="8">
                  <c:v>0.36</c:v>
                </c:pt>
                <c:pt idx="9">
                  <c:v>0.12</c:v>
                </c:pt>
                <c:pt idx="10">
                  <c:v>0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Symmetry Embedding</c:v>
                </c:pt>
              </c:strCache>
            </c:strRef>
          </c:tx>
          <c:spPr>
            <a:ln w="28575" cap="rnd">
              <a:solidFill>
                <a:srgbClr val="FF7C8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7C80">
                  <a:alpha val="0"/>
                </a:srgbClr>
              </a:solidFill>
              <a:ln w="28575">
                <a:solidFill>
                  <a:srgbClr val="FF7C8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7C80"/>
                </a:solidFill>
                <a:prstDash val="solid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Sheet1!$G$2:$G$12</c:f>
              <c:numCache>
                <c:formatCode>General</c:formatCode>
                <c:ptCount val="11"/>
                <c:pt idx="0">
                  <c:v>1</c:v>
                </c:pt>
                <c:pt idx="1">
                  <c:v>0.79</c:v>
                </c:pt>
                <c:pt idx="2">
                  <c:v>0.69</c:v>
                </c:pt>
                <c:pt idx="3">
                  <c:v>0.61</c:v>
                </c:pt>
                <c:pt idx="4">
                  <c:v>0.5</c:v>
                </c:pt>
                <c:pt idx="5">
                  <c:v>0.4</c:v>
                </c:pt>
                <c:pt idx="6">
                  <c:v>0.35</c:v>
                </c:pt>
                <c:pt idx="7">
                  <c:v>0.28000000000000003</c:v>
                </c:pt>
                <c:pt idx="8">
                  <c:v>0.23</c:v>
                </c:pt>
                <c:pt idx="9">
                  <c:v>0.08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492840"/>
        <c:axId val="379485000"/>
      </c:scatterChart>
      <c:valAx>
        <c:axId val="379492840"/>
        <c:scaling>
          <c:orientation val="minMax"/>
          <c:max val="1"/>
        </c:scaling>
        <c:delete val="0"/>
        <c:axPos val="b"/>
        <c:majorGridlines>
          <c:spPr>
            <a:ln w="1905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Recall</a:t>
                </a:r>
              </a:p>
            </c:rich>
          </c:tx>
          <c:layout>
            <c:manualLayout>
              <c:xMode val="edge"/>
              <c:yMode val="edge"/>
              <c:x val="0.4684140872058139"/>
              <c:y val="0.924427897508696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85000"/>
        <c:crosses val="autoZero"/>
        <c:crossBetween val="midCat"/>
        <c:majorUnit val="0.1"/>
      </c:valAx>
      <c:valAx>
        <c:axId val="379485000"/>
        <c:scaling>
          <c:orientation val="minMax"/>
          <c:max val="1"/>
          <c:min val="0"/>
        </c:scaling>
        <c:delete val="0"/>
        <c:axPos val="l"/>
        <c:majorGridlines>
          <c:spPr>
            <a:ln w="1905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Precision</a:t>
                </a:r>
                <a:endParaRPr lang="en-US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003267305695536E-2"/>
              <c:y val="0.279570918257667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92840"/>
        <c:crosses val="autoZero"/>
        <c:crossBetween val="midCat"/>
      </c:valAx>
      <c:spPr>
        <a:solidFill>
          <a:schemeClr val="bg1"/>
        </a:solidFill>
        <a:ln w="38100" cap="flat" cmpd="sng" algn="ctr">
          <a:solidFill>
            <a:schemeClr val="dk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2015-05-22T08:00:00Z</dcterms:created>
  <dcterms:modified xsi:type="dcterms:W3CDTF">2015-05-25T05:52:00Z</dcterms:modified>
</cp:coreProperties>
</file>