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 w:val="0"/>
          <w:color w:val="000000"/>
        </w:rPr>
        <w:t>Mosaic Desktop 项目实施文档</w:t>
      </w:r>
    </w:p>
    <w:p>
      <w:pPr>
        <w:pStyle w:val="Subtitle"/>
      </w:pPr>
      <w:r>
        <w:rPr>
          <w:rFonts w:ascii="Microsoft YaHei" w:hAnsi="Microsoft YaHei" w:eastAsia="Microsoft YaHei" w:cs="Microsoft YaHei"/>
          <w:b w:val="0"/>
          <w:color w:val="000000"/>
        </w:rPr>
        <w:t>产品需求与交互规范及开发蓝图</w:t>
      </w:r>
    </w:p>
    <w:p>
      <w:r>
        <w:rPr>
          <w:rFonts w:ascii="Microsoft YaHei" w:hAnsi="Microsoft YaHei" w:eastAsia="Microsoft YaHei" w:cs="Microsoft YaHei"/>
          <w:b w:val="0"/>
          <w:color w:val="555555"/>
          <w:sz w:val="18"/>
        </w:rPr>
        <w:t>文档版本：2.0　｜　编制日期：2026 年 10 月 22 日　｜　适用平台：Windows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文档版本 2.0 表示本次规划修订；软件交付仍从 V0.1 开始。本文件用于确定开发范围、接口边界、实施顺序和验收方法，供产品、设计、开发与测试共同使用。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 实施结论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Mosaic Desktop 采用“轻量桌面 + 按需工作台 + 统一资源与命令”的架构。Windows Explorer 保持运行；Mosaic 通过独立窗口、系统托盘和快捷键增强现有桌面。桌面、Dock、搜索、资源库和工作空间使用同一份资源身份与命令定义，用户可以独立关闭各个可见模块。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实施的第一目标是完成一条真实闭环：选择索引目录 → 搜索文件或应用 → 打开或收藏 → 加入资源集合 → 固定到 Dock 或工作空间 → 切换工作空间后继续使用。视觉效果服务于这条闭环。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确定以下基线：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</w:rPr>
        <w:t>原生外壳使用 C#、.NET 10 LTS、WPF 和封装后的 Win32 API；复杂工作台使用一个按需创建的 WebView2 宿主与 React、TypeScript 前端。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</w:rPr>
        <w:t>常驻 Dock、Command Palette、Control Center 和少量桌面 Widget 使用原生界面。Dashboard、Resource Library、Customization Studio 在同一个工作台窗口内切换路由。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</w:rPr>
        <w:t>本地 SQLite 保存用户元数据和配置；Everything 是可选文件搜索提供器，同时保留只索引用户选定目录的本地搜索。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</w:rPr>
        <w:t>V0.1 验证桌面基础，V0.2 交付可日常使用的搜索版本，V0.3 作为产品 MVP，完成资源、工作空间和定制的闭环。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</w:rPr>
        <w:t>桌面精灵的美术、角色设计、动画素材和声音暂不制作。V0.4 仅用几何占位验证状态、拖动、命中区域与模块开关。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</w:rPr>
        <w:t>以下性能数字均为待测目标；工期为按人员配置估算的计划，不代表功能已经实现。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2 产品目标与范围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2.1 面向的使用方式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主要面向同时使用多个项目目录、应用和本地 AI 工具的 Windows 用户，也支持只开启搜索或 Dock 的轻量使用方式。首版不要求登录账户，不依赖云端服务。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16"/>
        <w:gridCol w:w="3744"/>
        <w:gridCol w:w="3989"/>
      </w:tblGrid>
      <w:tr>
        <w:trPr>
          <w:cantSplit/>
          <w:tblHeader/>
        </w:trPr>
        <w:tc>
          <w:tcPr>
            <w:tcW w:type="dxa" w:w="2016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74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可观察的结果</w:t>
            </w:r>
          </w:p>
        </w:tc>
        <w:tc>
          <w:tcPr>
            <w:tcW w:type="dxa" w:w="3989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找到资源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无需记住完整路径即可找到文件、应用、模型和项目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固定查询集与人工任务测试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重建工作环境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一次操作应用主题、资源入口和受支持的窗口规则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三个工作空间反复切换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保持桌面整洁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主桌面默认仅有 Dock、时钟和可选入口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初始安装与低配模式检查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用户控制成本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模块关闭后停止其采样、渲染和后台任务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进程、CPU、内存与订阅计数检查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保护已有环境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退出或崩溃后仍能使用 Windows 桌面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故障注入与恢复测试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2.2 首个完整 MVP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V0.3 的发布范围包括 Desktop、Dock、Dashboard、Command Palette、Resource Library、Workspace Engine、基础 Control Center 和基础 Customization Studio。资源支持文件、文件夹、应用、项目、模型与命令入口；模型管理在此阶段仅管理本地元数据和关联工具，不负责下载、训练或推理调度。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V0.3 的典型完成标准：用户在三个已授权目录中找到一个 GGUF 文件，把它加入 AI Models 集合和 AI Lab 工作空间，通过同一资源操作菜单打开所在目录；随后切换到 Writing 工作空间，布局与资源入口正确变化，再切回 AI Lab，收藏与窗口规则仍然存在。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2.3 延后或排除的工作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V1.0 之前不做 Explorer Shell 完整替换、文件自动迁移或删除、持续运行的自主 AI Agent、3D 桌宠、动态壁纸播放器、跨设备同步、应用商店、全文 OCR 和任意第三方应用内部状态恢复。磁盘实际整理、重命名、复制和移动不属于本次资源库的首版范围。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天气、云日历、聊天服务等需要外部账户或数据源的 Widget 以后通过连接器扩展。首版日程、任务和笔记为本地数据；参考图中的服务图标与示例数据不等于已授权的第三方集成。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Windows 虚拟桌面与 Mosaic Workspace 是不同概念。首版 Workspace 是 Mosaic 配置、资源及窗口规则的集合，不自动创建或切换 Windows 虚拟桌面。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3 模块划分与依赖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产品采用七个功能域、六个主要界面。Dock 与桌面 Widget 属于 Desktop Shell；Workspace Engine 是共享能力，不需要成为独立应用。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656"/>
        <w:gridCol w:w="2794"/>
        <w:gridCol w:w="2016"/>
        <w:gridCol w:w="3283"/>
      </w:tblGrid>
      <w:tr>
        <w:trPr>
          <w:cantSplit/>
          <w:tblHeader/>
        </w:trPr>
        <w:tc>
          <w:tcPr>
            <w:tcW w:type="dxa" w:w="1656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279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对用户的能力</w:t>
            </w:r>
          </w:p>
        </w:tc>
        <w:tc>
          <w:tcPr>
            <w:tcW w:type="dxa" w:w="2016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实现归属</w:t>
            </w:r>
          </w:p>
        </w:tc>
        <w:tc>
          <w:tcPr>
            <w:tcW w:type="dxa" w:w="3283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Desktop Shell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Dock、桌面 Widget、工作空间入口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Native Shell</w:t>
            </w:r>
          </w:p>
        </w:tc>
        <w:tc>
          <w:tcPr>
            <w:tcW w:type="dxa" w:w="3283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Commands、Resources、Settings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Command Center</w:t>
            </w:r>
          </w:p>
        </w:tc>
        <w:tc>
          <w:tcPr>
            <w:tcW w:type="dxa" w:w="279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混合搜索、对象操作、快捷键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Native Palette</w:t>
            </w:r>
          </w:p>
        </w:tc>
        <w:tc>
          <w:tcPr>
            <w:tcW w:type="dxa" w:w="3283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Search、Commands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Resource Library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资源、标签、集合、预览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Workbench 路由</w:t>
            </w:r>
          </w:p>
        </w:tc>
        <w:tc>
          <w:tcPr>
            <w:tcW w:type="dxa" w:w="328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Resources、Index、Thumbnails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Workspace Engine</w:t>
            </w:r>
          </w:p>
        </w:tc>
        <w:tc>
          <w:tcPr>
            <w:tcW w:type="dxa" w:w="279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布局、收藏、启动项、窗口规则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Core 服务</w:t>
            </w:r>
          </w:p>
        </w:tc>
        <w:tc>
          <w:tcPr>
            <w:tcW w:type="dxa" w:w="3283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Settings、Resources、Windows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Control Center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系统状态与受支持的快捷设置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Native Flyout</w:t>
            </w:r>
          </w:p>
        </w:tc>
        <w:tc>
          <w:tcPr>
            <w:tcW w:type="dxa" w:w="328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System Adapters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Customization Studio</w:t>
            </w:r>
          </w:p>
        </w:tc>
        <w:tc>
          <w:tcPr>
            <w:tcW w:type="dxa" w:w="279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主题、布局、模块、快捷键、导入导出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Workbench 路由</w:t>
            </w:r>
          </w:p>
        </w:tc>
        <w:tc>
          <w:tcPr>
            <w:tcW w:type="dxa" w:w="3283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Settings、Capabilities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Extensions and Pet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Widget 扩展、连接器、桌宠运行时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按需宿主</w:t>
            </w:r>
          </w:p>
        </w:tc>
        <w:tc>
          <w:tcPr>
            <w:tcW w:type="dxa" w:w="328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版本化 Contracts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共同底座包含 Resource Registry、Command Registry、Settings Store、Event Bus 与 Capability Registry。禁用界面模块不删除用户数据，也不删除仍被其他模块使用的公共服务。例如关闭资源库窗口后，全局搜索仍可读取收藏和标签；关闭监控 Widget 后，没有订阅者的监控采样器必须停止。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模块统一生命周期为 Disabled、Starting、Ready、Degraded、Faulted、Stopping。设置页显示故障原因与恢复操作；连续启动失败的模块进入禁用建议状态，不无限自动重启。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4 视觉方向与界面规范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4.1 参考图的落地方式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参考图提供了五种视觉构图：清爽主桌面、网格 Dashboard、双栏搜索、资源卡片库和窄幅快捷设置。它们应成为同一设计系统中的不同窗口，而不是同时铺满屏幕的一张大界面。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保留深蓝灰底色、冰蓝重点、克制玻璃感、统一图标和轻量 Dock。山景壁纸作为构图参考，正式发行前另行确认壁纸、图标与字体的使用权；桌宠位置只保留布局占位。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0488" cy="3484001"/>
            <wp:docPr id="1" name="Picture 1" descr="图 1  用户提供的界面构图与风格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-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8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用户提供的界面构图与风格参考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4.2 设计变量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12"/>
        <w:gridCol w:w="3917"/>
        <w:gridCol w:w="4320"/>
      </w:tblGrid>
      <w:tr>
        <w:trPr>
          <w:cantSplit/>
          <w:tblHeader/>
        </w:trPr>
        <w:tc>
          <w:tcPr>
            <w:tcW w:type="dxa" w:w="1512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917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初始值</w:t>
            </w:r>
          </w:p>
        </w:tc>
        <w:tc>
          <w:tcPr>
            <w:tcW w:type="dxa" w:w="4320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背景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#101722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页面基底；透明关闭时仍可独立阅读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面板与浮层</w:t>
            </w:r>
          </w:p>
        </w:tc>
        <w:tc>
          <w:tcPr>
            <w:tcW w:type="dxa" w:w="391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#182331 / #223145</w:t>
            </w:r>
          </w:p>
        </w:tc>
        <w:tc>
          <w:tcPr>
            <w:tcW w:type="dxa" w:w="432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以层级和边框区分，不只依赖模糊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主文字与次文字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#F3F6FA / #B5C2D3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状态信息与路径必须保持可读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强调与焦点</w:t>
            </w:r>
          </w:p>
        </w:tc>
        <w:tc>
          <w:tcPr>
            <w:tcW w:type="dxa" w:w="391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#69B7FF / 2 DIP 焦点边框</w:t>
            </w:r>
          </w:p>
        </w:tc>
        <w:tc>
          <w:tcPr>
            <w:tcW w:type="dxa" w:w="432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强调色允许修改，并检查对比度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圆角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卡片 12 DIP；窗口 16 DIP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在能力允许时应用原生窗口圆角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间距</w:t>
            </w:r>
          </w:p>
        </w:tc>
        <w:tc>
          <w:tcPr>
            <w:tcW w:type="dxa" w:w="391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4、8、12、16、24、32 DIP</w:t>
            </w:r>
          </w:p>
        </w:tc>
        <w:tc>
          <w:tcPr>
            <w:tcW w:type="dxa" w:w="432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原生与 Web 共用 token 名称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字体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Segoe UI Variable；中文回退 Microsoft YaHei UI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正文 14–16 DIP，路径不小于 12 DIP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Dock</w:t>
            </w:r>
          </w:p>
        </w:tc>
        <w:tc>
          <w:tcPr>
            <w:tcW w:type="dxa" w:w="391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默认高 68 DIP；图标 36 DIP</w:t>
            </w:r>
          </w:p>
        </w:tc>
        <w:tc>
          <w:tcPr>
            <w:tcW w:type="dxa" w:w="432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支持紧凑与宽松密度，默认不放大跳动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动画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180 ms，范围 150–250 ms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降低动态效果时取消位移和弹性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命中区域</w:t>
            </w:r>
          </w:p>
        </w:tc>
        <w:tc>
          <w:tcPr>
            <w:tcW w:type="dxa" w:w="391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普通控件至少 32 × 32 DIP</w:t>
            </w:r>
          </w:p>
        </w:tc>
        <w:tc>
          <w:tcPr>
            <w:tcW w:type="dxa" w:w="432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触摸模式提高到 44 × 44 DIP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界面尺寸使用逻辑单位，不能把 4K 屏幕的物理像素直接写进布局。Web CSS px 与原生 DIP 的映射通过宿主 DPI 桥接统一处理。普通文本对比度目标至少 4.5:1，大字和关键图形至少 3:1；高对比度模式以系统颜色为准。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Dark 为首发完整主题，Light 与 Minimal 在 V0.3 补齐，Cyber 作为 V0.4 的外观预设。所有主题共用布局与功能，不派生四套界面。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长期窗口优先 Mica 或不透明背景，临时搜索框与快捷浮层可用 Acrylic。微软对两种材质的定位支持这一选择；WPF 下仍需通过原生窗口适配与能力检测落地，不能直接照搬 WinUI XAML。</w:t>
      </w:r>
      <w:hyperlink r:id="rId11">
        <w:r>
          <w:rPr>
            <w:color w:val="245C8D"/>
            <w:u w:val="single"/>
          </w:rPr>
          <w:t>系统材质说明</w:t>
        </w:r>
      </w:hyperlink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4.3 通用状态与无障碍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每个界面必须设计 Loading、Empty、Ready、Error、Offline、PermissionDenied 与 Disabled 状态。文件不存在、外接盘离线、尚未索引和没有匹配结果使用不同文案。部分能力不可用时，保留其他可用操作。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所有交互支持键盘导航、可见焦点、屏幕阅读器名称和明确的状态文本。Web 部分采用语义化元素；原生部分提供 AutomationPeer。中文输入法组合阶段不提交搜索和回车操作；长路径可复制，不能仅靠省略号表达差异。图表同时显示数字与单位。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5 六个核心界面的功能规格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5.1 Desktop 与 Dock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默认桌面只显示时钟、Dock 和工作空间切换入口。Dock 支持固定应用、文件夹、资源集合、工作空间与命令；拖动排序只改变 Mosaic 配置。点击执行统一命令，右键菜单使用与搜索相同的操作定义。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V0.1 交付固定启动项、排序、增删入口、自动隐藏和主屏定位。运行应用指示、现有窗口聚焦与多窗口选择在 V0.3 完善；前台激活失败时给出提示，不连续抢夺焦点。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Dock 默认位于系统任务栏上方的安全区域，支持移动到其他边缘。首版不隐藏系统任务栏，也不占用 AppBar 工作区。桌面 Widget 使用小型独立窗口，不创建覆盖整个桌面的透明输入层。仅在桌面场景显示、不抢激活，以及 Win+D 行为必须在技术验证阶段确认；如果不能稳定实现，V0.1 将桌面 Widget 降为可选浮窗，Dashboard 中的同类 Widget 正常交付。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隐藏 Windows 桌面图标先提供系统操作指引，不依赖未公开 Explorer 窗口结构修改图标状态。桌宠模块默认关闭。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5.2 Dashboard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Dashboard 是工作台的首页，可最大化，也可作为普通窗口。宽屏使用 12 列网格，中等宽度 8 列，窄窗口 4 列；各断点保存独立布局，切换屏幕不覆盖其他断点。网格最小单元为 1 × 1，每种 Widget 声明自己的最小尺寸和最大尺寸。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浏览模式下卡片操作资源；进入编辑模式后才显示拖动柄、缩放柄和网格。拖动发生碰撞时预览重排，松开后写入草稿；保存一次性提交，取消恢复进入编辑前的布局。提供撤销和重做，至少保留本次会话最近 20 次布局操作。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初始 Widget：时钟、本地任务、短笔记、收藏文件夹、项目列表、快捷命令、CPU、内存、网络和磁盘容量。GPU 通过能力适配器提供，未识别时显示“当前设备暂不支持”。磁盘容量低频刷新，不能把它画成磁盘实时吞吐图。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图表可见时默认每 2 秒采样一次，保留最近 60 个点；工作台隐藏后停止图表订阅。日历首版展示本地事项，不把示例日期伪装成已连接账户。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5.3 Command Palette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全局默认建议 Ctrl+Alt+Space，可修改并检测注册冲突；应用内 Ctrl+K 调用同一搜索。窗口宽度目标 720–960 DIP，并按当前显示器工作区缩小。结果区加详情区形成双栏，窄屏按 Tab 展开详情。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默认混合搜索 File、Folder、App、Project、Model、Command、Setting、Workspace。类型筛选与搜索文本同时生效；首屏最多展示 50 条，后续按需获取。结果至少包含名称、类型、所属路径或项目、可用状态和默认操作。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60"/>
        <w:gridCol w:w="7589"/>
      </w:tblGrid>
      <w:tr>
        <w:trPr>
          <w:cantSplit/>
          <w:tblHeader/>
        </w:trPr>
        <w:tc>
          <w:tcPr>
            <w:tcW w:type="dxa" w:w="2160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7589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上下方向键</w:t>
            </w:r>
          </w:p>
        </w:tc>
        <w:tc>
          <w:tcPr>
            <w:tcW w:type="dxa" w:w="7589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移动结果选择，不改变输入框内容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Enter</w:t>
            </w:r>
          </w:p>
        </w:tc>
        <w:tc>
          <w:tcPr>
            <w:tcW w:type="dxa" w:w="75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对所选项执行默认操作；命令执行前校验参数与能力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Tab</w:t>
            </w:r>
          </w:p>
        </w:tc>
        <w:tc>
          <w:tcPr>
            <w:tcW w:type="dxa" w:w="75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从结果进入详情与操作区；后续遵循正常焦点顺序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Shift+Tab</w:t>
            </w:r>
          </w:p>
        </w:tc>
        <w:tc>
          <w:tcPr>
            <w:tcW w:type="dxa" w:w="75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返回前一焦点区域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Esc</w:t>
            </w:r>
          </w:p>
        </w:tc>
        <w:tc>
          <w:tcPr>
            <w:tcW w:type="dxa" w:w="75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先退出详情或子页面，再关闭窗口并尝试恢复原焦点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Ctrl+C</w:t>
            </w:r>
          </w:p>
        </w:tc>
        <w:tc>
          <w:tcPr>
            <w:tcW w:type="dxa" w:w="75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在结果聚焦时复制资源路径；输入框中保持文本复制行为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常用操作为打开、打开所在目录、复制路径、收藏、加入集合、加入工作空间、固定到 Dock。模型的默认行为是查看详情或打开关联工具，不默认加载模型；命令支持可执行条件、运行反馈与失败原因。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空查询显示最近与收藏；无结果时提供调整筛选和管理索引范围；搜索器故障时显示来源状态。更新结果时保留用户已选择的资源，避免异步排序导致回车打开其他项。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5.4 Resource Library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左侧导航为全部资源、类型、收藏、集合与工作空间。主区域提供卡片和列表两种视图，详情侧栏包含路径、大小、修改时间、标签、来源和可执行操作。卡片缩略图与列表行均虚拟化，不能一次加载全部模型或图片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Static Collection 保存显式成员；Smart Collection 保存规则表达式；Project Collection 保存项目与资源、应用、模型的关系。资源可属于多个集合，添加与移除成员只修改元数据。移除按钮明确写“从集合移除”。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规则编辑器首版支持类型、目录、标签、修改日期、大小，以及 AND/OR 条件；内部使用受限规则树，不让用户输入任意 SQL。预览匹配数量后保存。项目可绑定根目录、启动命令、README 入口和关联模型。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多选首版仅用于标签、收藏和集合管理。资源预览优先支持基础信息、文本节选和常见图片；PDF、视频缩略图及复杂格式在隔离的预览工作进程中逐步加入。未知格式显示系统图标与关联应用入口。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5.5 Control Center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快捷设置沿用参考图的窄面板构图，宽度目标 320–400 DIP。直接控制与系统入口必须有明确区别：可执行的开关显示当前状态；跳转 Windows 设置的卡片带外链/跳转标记。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973"/>
        <w:gridCol w:w="4032"/>
        <w:gridCol w:w="3744"/>
      </w:tblGrid>
      <w:tr>
        <w:trPr>
          <w:cantSplit/>
          <w:tblHeader/>
        </w:trPr>
        <w:tc>
          <w:tcPr>
            <w:tcW w:type="dxa" w:w="1973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032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V0.3 行为</w:t>
            </w:r>
          </w:p>
        </w:tc>
        <w:tc>
          <w:tcPr>
            <w:tcW w:type="dxa" w:w="374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不可用时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主音量、静音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Core Audio 读取、修改并订阅状态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禁用控件并显示设备缺失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音频设备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展示设备与当前状态；首版跳转系统切换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保留声音设置入口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内置屏亮度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能力探测成功后启用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隐藏滑块或提供系统入口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外接屏亮度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仅对验证过的 DDC/CI 设备启用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显示不支持，不模拟亮度变化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网络、Wi-Fi、蓝牙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展示可得状态，打开系统设置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使用通用设置入口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性能模式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首版调整 Mosaic 的采样和动画策略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明确标注“Mosaic 性能模式”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夜间模式、系统专注、飞行模式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系统设置入口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不使用未公开接口伪造开关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主音量控制要与系统音量同步回调。</w:t>
      </w:r>
      <w:hyperlink r:id="rId12">
        <w:r>
          <w:rPr>
            <w:color w:val="245C8D"/>
            <w:u w:val="single"/>
          </w:rPr>
          <w:t>Core Audio 端点音量说明</w:t>
        </w:r>
      </w:hyperlink>
      <w:r>
        <w:rPr>
          <w:rFonts w:ascii="Microsoft YaHei" w:hAnsi="Microsoft YaHei" w:eastAsia="Microsoft YaHei" w:cs="Microsoft YaHei"/>
          <w:b w:val="0"/>
          <w:color w:val="000000"/>
        </w:rPr>
        <w:t xml:space="preserve"> 外接显示器的亮度协议并非所有设备都完整支持，因此需按实际硬件验证。</w:t>
      </w:r>
      <w:hyperlink r:id="rId13">
        <w:r>
          <w:rPr>
            <w:color w:val="245C8D"/>
            <w:u w:val="single"/>
          </w:rPr>
          <w:t>显示器亮度 API</w:t>
        </w:r>
      </w:hyperlink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5.6 Customization Studio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设置分为外观、Desktop 与 Dock、Dashboard、工作空间、资源与索引、快捷键、模块、扩展、数据与恢复。V0.1 提供必要配置页，V0.3 形成统一 Studio，V1.0 完善扩展与可迁移配置。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外观编辑采用草稿实时预览，保存才持久化，取消回到进入时的状态。预览不启动应用、不执行脚本、不修改系统设置。大幅布局变更提供“恢复上次布局”；更改快捷键时先尝试注册，失败不覆盖旧绑定。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配置导出分为主题、单工作空间和全部 Mosaic 配置。默认不包含资源原文件、访问令牌和机器日志。导入先检查版本、路径、命令和模块缺失，再展示变更摘要；导入的脚本与启动动作默认关闭。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6 关键用户流程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6.1 首次运行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欢迎页说明运行方式 → 选择轻量/标准模式 → 选择索引目录 → 设置快捷键并检测冲突 → 选择是否随登录启动 → 展示初始桌面。索引在后台进行，界面立即可用，明确显示当前扫描进度与覆盖范围。Everything 安装与连接为可选步骤，跳过后仍能搜索已授权目录。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6.2 从发现到组织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输入“qwen” → 合并本地文件、已登记模型与命令 → 选中模型查看详情 → 添加 AI Models 标签和集合 → 固定到 AI Lab → 打开所在目录。以上各入口引用同一个 resourceId，路径变更后不应产生四份互不关联的收藏。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6.3 切换工作空间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选择 AI Lab → 预检屏幕、路径、应用与动作 → 保存当前 Mosaic 状态 → 应用主题、Dock 与 Dashboard → 按配置启动缺失应用 → 等待受支持窗口并应用布局 → 显示完成或部分完成。首次启用启动动作时，用户能看到将执行的可执行文件、参数与工作目录。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切换不会关闭其他应用，也不会保存第三方应用未保存的内容。可回滚 Mosaic 配置与可恢复的窗口位置；已启动的外部程序和已运行脚本不属于数据库事务，失败时保留并明确报告。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6.4 退出与故障恢复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托盘提供暂停全部、恢复默认布局、诊断和退出。退出释放快捷键、窗口、采样器与文件监听；Windows 桌面继续工作。异常退出后，下次启动先读取最后一次成功配置，重复崩溃时进入安全模式，只启动设置和搜索所需的最小服务。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7 技术选型与架构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7.1 技术基线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84"/>
        <w:gridCol w:w="4032"/>
        <w:gridCol w:w="4133"/>
      </w:tblGrid>
      <w:tr>
        <w:trPr>
          <w:cantSplit/>
          <w:tblHeader/>
        </w:trPr>
        <w:tc>
          <w:tcPr>
            <w:tcW w:type="dxa" w:w="158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032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首选方案</w:t>
            </w:r>
          </w:p>
        </w:tc>
        <w:tc>
          <w:tcPr>
            <w:tcW w:type="dxa" w:w="4133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选择原因与约束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原生宿主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.NET 10 LTS、WPF、MVVM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便于原生窗口、输入与 Win32 集成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工作台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React、TypeScript、Vite、WebView2</w:t>
            </w:r>
          </w:p>
        </w:tc>
        <w:tc>
          <w:tcPr>
            <w:tcW w:type="dxa" w:w="4133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共用一套网格与资源界面；产物本地打包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设计变量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JSON tokens 生成 XAML 与 CSS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原生/Web 共用颜色、间距和主题标识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结构化存储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Microsoft.Data.Sqlite、SQLite、FTS5</w:t>
            </w:r>
          </w:p>
        </w:tc>
        <w:tc>
          <w:tcPr>
            <w:tcW w:type="dxa" w:w="4133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本地事务、查询和可重建索引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文件搜索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Everything IPC 适配器 + 本地目录索引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外部能力可选，功能有明确降级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系统桥接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Win32、COM、Windows 性能接口</w:t>
            </w:r>
          </w:p>
        </w:tc>
        <w:tc>
          <w:tcPr>
            <w:tcW w:type="dxa" w:w="4133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集中封装，不散布在界面代码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进程通信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用户范围 Named Pipe + JSON 消息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不默认监听网络端口，协议可版本化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Widget 配置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JSON Schema 与能力声明</w:t>
            </w:r>
          </w:p>
        </w:tc>
        <w:tc>
          <w:tcPr>
            <w:tcW w:type="dxa" w:w="4133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数据校验和表单生成共用约束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测试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.NET 单元/集成测试、前端组件测试、Playwright、原生 UI 自动化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Web 与真实 Windows 集成分别验证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.NET 官方当前将 .NET 10 列为支持至 2028 年 11 月的 LTS；实施时锁定仍受支持的补丁版本、Windows SDK、NuGet 与 npm 依赖，记录锁文件与依赖清单。</w:t>
      </w:r>
      <w:hyperlink r:id="rId14">
        <w:r>
          <w:rPr>
            <w:color w:val="245C8D"/>
            <w:u w:val="single"/>
          </w:rPr>
          <w:t>.NET 支持周期</w:t>
        </w:r>
      </w:hyperlink>
    </w:p>
    <w:p>
      <w:r>
        <w:rPr>
          <w:rFonts w:ascii="Microsoft YaHei" w:hAnsi="Microsoft YaHei" w:eastAsia="Microsoft YaHei" w:cs="Microsoft YaHei"/>
          <w:b w:val="0"/>
          <w:color w:val="000000"/>
        </w:rPr>
        <w:t>正式支持范围先定为仍处于厂商支持期的 Windows 11 x64 版本，测试至少覆盖两个实际发布配置。Windows 10、ARM64、远程桌面属于后续兼容评估，不在首发承诺中。材质 API 的最低版本要求不等于整个产品的系统支持承诺。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7.2 进程与组件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Mosaic.Host 是当前用户的单实例常驻进程，托管 Core、原生窗口和一个按需创建的工作台。WebView2 自己管理浏览器、渲染与 GPU 等子进程；一个工作台不等于整个产品只有一个 OS 进程。</w:t>
      </w:r>
      <w:hyperlink r:id="rId15">
        <w:r>
          <w:rPr>
            <w:color w:val="245C8D"/>
            <w:u w:val="single"/>
          </w:rPr>
          <w:t>WebView2 进程模型</w:t>
        </w:r>
      </w:hyperlink>
    </w:p>
    <w:p>
      <w:r>
        <w:rPr>
          <w:rFonts w:ascii="Microsoft YaHei" w:hAnsi="Microsoft YaHei" w:eastAsia="Microsoft YaHei" w:cs="Microsoft YaHei"/>
          <w:b w:val="0"/>
          <w:color w:val="000000"/>
        </w:rPr>
        <w:t>Mosaic.Indexer 负责目录枚举和文件变化归并，按批次把结果提交给 Host。SQLite 持久化写入只由 Host 中的写队列执行；Indexer 不直接写数据库。后续 Mosaic.PreviewWorker 隔离图片或文档解析，Mosaic.ExtensionHost 隔离受信任插件的故障。无任务时不启动这些工作进程。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内置 Web 页面共享 CoreWebView2Environment 与 User Data Folder；不为每个 Widget 创建 WebView2。工作台首次打开才初始化，隐藏后暂停订阅，达到空闲阈值可销毁 WebView2，下一次按配置重新加载。更低内存与更快热开之间提供可解释的模式选择。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2" name="Picture 2" descr="图 2  模块与进程职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模块与进程职责示意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7.3 原生与 Web 的职责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前端负责展示、布局与输入状态；Core 负责命令校验、资源访问、持久化与系统调用。Web 页面不能获得通用文件系统对象、任意 shell 执行函数或原生反射代理。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Bridge 消息至少包含 protocolVersion、requestId、method、payload、deadline；写操作还带 mutationId 防止重复提交。返回 success、errorCode、userMessage 与 result，并支持取消和批量事件。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只接受内部页面来源、允许的方法和符合 Schema 的参数；阻止工作台导航到任意远程页面，外链交给默认浏览器。文件名、模型描述与预览文本均作为不可信数据转义，不直接拼接 HTML 或脚本。</w:t>
      </w:r>
      <w:hyperlink r:id="rId17">
        <w:r>
          <w:rPr>
            <w:color w:val="245C8D"/>
            <w:u w:val="single"/>
          </w:rPr>
          <w:t>WebView2 安全建议</w:t>
        </w:r>
      </w:hyperlink>
    </w:p>
    <w:p>
      <w:r>
        <w:rPr>
          <w:rFonts w:ascii="Microsoft YaHei" w:hAnsi="Microsoft YaHei" w:eastAsia="Microsoft YaHei" w:cs="Microsoft YaHei"/>
          <w:b w:val="0"/>
          <w:color w:val="000000"/>
        </w:rPr>
        <w:t>标准 WPF WebView2 存在原生窗口层级遮挡问题。首版把工作台弹层留在 Web 内，原生搜索另开窗口；只有必须叠加 WPF 控件时才验证 WebView2CompositionControl，不能假定改 z-index 就能解决。</w:t>
      </w:r>
      <w:hyperlink r:id="rId18">
        <w:r>
          <w:rPr>
            <w:color w:val="245C8D"/>
            <w:u w:val="single"/>
          </w:rPr>
          <w:t>WPF WebView2 层级说明</w:t>
        </w:r>
      </w:hyperlink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8 资源数据模型与持久化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8.1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32"/>
        <w:gridCol w:w="3830"/>
        <w:gridCol w:w="3686"/>
      </w:tblGrid>
      <w:tr>
        <w:trPr>
          <w:cantSplit/>
          <w:tblHeader/>
        </w:trPr>
        <w:tc>
          <w:tcPr>
            <w:tcW w:type="dxa" w:w="2232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3830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686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关系与用途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Resource</w:t>
            </w:r>
          </w:p>
        </w:tc>
        <w:tc>
          <w:tcPr>
            <w:tcW w:type="dxa" w:w="3830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id、kind、name、provider、status、timestamps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所有入口共享的稳定身份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ResourceLocation</w:t>
            </w:r>
          </w:p>
        </w:tc>
        <w:tc>
          <w:tcPr>
            <w:tcW w:type="dxa" w:w="383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resourceId、URI/path、volumeId、fileId、lastSeen</w:t>
            </w:r>
          </w:p>
        </w:tc>
        <w:tc>
          <w:tcPr>
            <w:tcW w:type="dxa" w:w="368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一个资源可有多个已知位置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ResourceMetadata</w:t>
            </w:r>
          </w:p>
        </w:tc>
        <w:tc>
          <w:tcPr>
            <w:tcW w:type="dxa" w:w="383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resourceId、schemaVersion、payload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扩展模型格式、项目信息等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Tag 与 ResourceTag</w:t>
            </w:r>
          </w:p>
        </w:tc>
        <w:tc>
          <w:tcPr>
            <w:tcW w:type="dxa" w:w="383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tagId、resourceId</w:t>
            </w:r>
          </w:p>
        </w:tc>
        <w:tc>
          <w:tcPr>
            <w:tcW w:type="dxa" w:w="368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资源多对多标签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Collection</w:t>
            </w:r>
          </w:p>
        </w:tc>
        <w:tc>
          <w:tcPr>
            <w:tcW w:type="dxa" w:w="383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id、kind、name、ruleJson、revision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Static、Smart、Project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CollectionMember</w:t>
            </w:r>
          </w:p>
        </w:tc>
        <w:tc>
          <w:tcPr>
            <w:tcW w:type="dxa" w:w="383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collectionId、resourceId、order</w:t>
            </w:r>
          </w:p>
        </w:tc>
        <w:tc>
          <w:tcPr>
            <w:tcW w:type="dxa" w:w="368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显式集合成员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ResourceRelation</w:t>
            </w:r>
          </w:p>
        </w:tc>
        <w:tc>
          <w:tcPr>
            <w:tcW w:type="dxa" w:w="383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sourceId、targetId、relationType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项目与文件、模型、应用关系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Workspace</w:t>
            </w:r>
          </w:p>
        </w:tc>
        <w:tc>
          <w:tcPr>
            <w:tcW w:type="dxa" w:w="383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id、name、schemaVersion、revision</w:t>
            </w:r>
          </w:p>
        </w:tc>
        <w:tc>
          <w:tcPr>
            <w:tcW w:type="dxa" w:w="368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四类状态的聚合根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WorkspaceResource</w:t>
            </w:r>
          </w:p>
        </w:tc>
        <w:tc>
          <w:tcPr>
            <w:tcW w:type="dxa" w:w="383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workspaceId、resourceId、role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工作空间资源入口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Layout 与 WidgetInstance</w:t>
            </w:r>
          </w:p>
        </w:tc>
        <w:tc>
          <w:tcPr>
            <w:tcW w:type="dxa" w:w="383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workspaceId、surface、breakpoint、grid、config</w:t>
            </w:r>
          </w:p>
        </w:tc>
        <w:tc>
          <w:tcPr>
            <w:tcW w:type="dxa" w:w="368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分屏幕与断点保存布局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LaunchAction 与 WindowRule</w:t>
            </w:r>
          </w:p>
        </w:tc>
        <w:tc>
          <w:tcPr>
            <w:tcW w:type="dxa" w:w="383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targetId、args、cwd、match、placement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应用启动与窗口位置规则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CommandBinding</w:t>
            </w:r>
          </w:p>
        </w:tc>
        <w:tc>
          <w:tcPr>
            <w:tcW w:type="dxa" w:w="3830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commandId、shortcut、scope、enabled</w:t>
            </w:r>
          </w:p>
        </w:tc>
        <w:tc>
          <w:tcPr>
            <w:tcW w:type="dxa" w:w="368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绑定代码注册的命令，不存任意可执行代码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IndexRoot 与 ScanCheckpoint</w:t>
            </w:r>
          </w:p>
        </w:tc>
        <w:tc>
          <w:tcPr>
            <w:tcW w:type="dxa" w:w="3830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path、scope、status、cursor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授权目录与索引状态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resourceId 使用内部生成的稳定 ID，路径不作为主键。NTFS 等可获得卷标识与文件 ID 的场景，用它们辅助关联同卷重命名；跨卷移动、文件 ID 复用、云盘和网络盘不能仅凭名称、大小自动认定为同一文件。身份不确定时保留原资源为 Missing，提示重新关联。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应用使用可执行文件或 AppUserModelID 等定位信息，命令使用命名空间 ID，模型在普通文件身份上增加格式、架构、量化、大小与关联工具等字段。不确定的模型属性显示未知，并允许人工编辑；不读入数十 GB 权重来生成卡片。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8.2 数据边界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用户标签、集合、工作空间和设置属于不可随意丢弃的数据；搜索索引、图标缓存和缩略图可以重建。移除索引目录时停止扫描并清理搜索覆盖，但保留仍被收藏和集合引用的资源记录，并标记“未在索引范围内”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数据库位于用户的 LocalAppData 下，不放在网络盘。SQLite 采用 WAL、外键约束和单写队列；查询连接只读或短事务使用。结构升级前用 SQLite 备份机制创建一致快照，不能在数据库活跃时仅复制单个 db 文件。迁移失败回到可恢复版本并保留诊断。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导出配置携带 schemaVersion、资源引用与机器相关映射，不打包原文件。路径通过导入映射向导修复；缺失路径不触发自动创建、移动或删除。凭据独立保存在 Windows 凭据存储或用户级加密存储，不能混入配置 JSON。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9 搜索与索引实现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9.1 查询流水线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输入规范化 → 查询语法与类型筛选 → 并行调用提供器 → 去重与稳定排序 → 流式显示 → 选中项延迟读取详情。提供器接口接受 query、scope、limit 和 CancellationToken，返回资源引用、匹配理由、来源与可用操作。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优先级建议为精确名称、名称前缀、路径/标签匹配，再叠加收藏、当前工作空间和最近使用加权。第一版采用确定性排序，不接入 LLM 排序。查询编号用于丢弃过期结果，避免慢查询覆盖新输入。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提供器包括注册应用、资源元数据、命令/设置、工作空间、Everything、本地目录索引。Everything 结果先作为轻量候选，收藏、打标签或关联项目时再登记为持久资源，避免把整个外部索引复制进资源库。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9.2 Everything 适配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启动时检测客户端可用性和索引就绪状态；查询使用后台、可取消的异步模式，避免阻塞界面线程。外部查询状态由适配器排队管理，防止交叠查询污染共享状态。SDK 通过 IPC 使用已运行的 Everything，并不是一个可独立完成磁盘索引的库。</w:t>
      </w:r>
      <w:hyperlink r:id="rId19">
        <w:r>
          <w:rPr>
            <w:color w:val="245C8D"/>
            <w:u w:val="single"/>
          </w:rPr>
          <w:t>Everything SDK</w:t>
        </w:r>
      </w:hyperlink>
    </w:p>
    <w:p>
      <w:r>
        <w:rPr>
          <w:rFonts w:ascii="Microsoft YaHei" w:hAnsi="Microsoft YaHei" w:eastAsia="Microsoft YaHei" w:cs="Microsoft YaHei"/>
          <w:b w:val="0"/>
          <w:color w:val="000000"/>
        </w:rPr>
        <w:t>连接失败立即转本地搜索并显示覆盖范围。默认对 Everything 结果执行 Mosaic 索引范围过滤；用户主动开启全盘搜索后才展示更广的结果。仅作为可选连接，不默认静默安装 Everything；随安装包分发之前单独核对许可与架构支持。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9.3 本地降级索引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用户选定根目录后分批枚举名称、路径、扩展名、大小和修改时间。默认不读取正文，不进入系统目录，不跟随符号链接或重解析点，不自动下载云占位文件；网络盘和可移除盘需要单独启用并采用更低频扫描。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FileSystemWatcher 只作为变更提示，事件去重、延迟归并后重新读取文件状态。缓冲溢出、异常或睡眠恢复时，把对应根目录标记为待校验并补扫；定期进行低优先级一致性检查。</w:t>
      </w:r>
      <w:hyperlink r:id="rId20">
        <w:r>
          <w:rPr>
            <w:color w:val="245C8D"/>
            <w:u w:val="single"/>
          </w:rPr>
          <w:t>FileSystemWatcher 事件限制</w:t>
        </w:r>
      </w:hyperlink>
    </w:p>
    <w:p>
      <w:r>
        <w:rPr>
          <w:rFonts w:ascii="Microsoft YaHei" w:hAnsi="Microsoft YaHei" w:eastAsia="Microsoft YaHei" w:cs="Microsoft YaHei"/>
          <w:b w:val="0"/>
          <w:color w:val="000000"/>
        </w:rPr>
        <w:t>FTS5 负责名称、标签和描述的检索，但默认分词不能直接保证中文文件名子串体验。三字符及以上子串可验证 trigram 索引；一两个字符查询走前缀索引与限定范围的 LIKE 候选扫描，并明确超时和结果上限。不要把大规模短字子串查询算进无条件 150 ms 承诺。中文、法文重音、空格、特殊字符与混合路径需独立测试。</w:t>
      </w:r>
      <w:hyperlink r:id="rId21">
        <w:r>
          <w:rPr>
            <w:color w:val="245C8D"/>
            <w:u w:val="single"/>
          </w:rPr>
          <w:t>SQLite FTS5 与 trigram 说明</w:t>
        </w:r>
      </w:hyperlink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9.4 文件变化与离线状态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存在性校验在执行操作前进行。外接盘拔出标记 Offline，删除标记 Missing，拒绝访问标记 PermissionDenied；三者均保留用户标签。缩略图缓存以资源身份、大小、修改时间与生成器版本失效，不在后台对所有模型文件计算内容哈希。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10 工作空间与窗口恢复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Workspace 保存四组数据：Appearance、Resources、LaunchActions、WindowRules。所有组都有 Schema 版本；应用启动和脚本是否执行使用独立开关，不因切换主题而自动开启。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切换过程是有日志的状态机：Preflight → Snapshot → ApplyMosaicState → Launch → Arrange → Complete/PartialFailure。Mosaic 数据提交可事务化，外部副作用逐项记录。每个动作携带执行 ID，重试前检查运行状态，避免重复启动。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窗口识别优先组合应用身份、进程启动信息、窗口类与可选标题规则；HWND 只在当前会话内使用，不能持久化为长期身份。位置以显示器标识、工作区、归一化矩形与窗口状态保存，恢复时换算为目标 DPI。显示器消失后将窗口移回可见主屏区域。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只有已验证应用才标记“支持布局恢复”。普通桌面应用、提权窗口、全屏游戏、特殊渲染应用分别测试；权限不足时跳过并报告，不让整个 Host 以管理员身份常驻。Windows 对前台窗口激活有系统限制，聚焦不能成为无条件保证。</w:t>
      </w:r>
      <w:hyperlink r:id="rId22">
        <w:r>
          <w:rPr>
            <w:color w:val="245C8D"/>
            <w:u w:val="single"/>
          </w:rPr>
          <w:t>前台窗口限制</w:t>
        </w:r>
      </w:hyperlink>
    </w:p>
    <w:p>
      <w:r>
        <w:rPr>
          <w:rFonts w:ascii="Microsoft YaHei" w:hAnsi="Microsoft YaHei" w:eastAsia="Microsoft YaHei" w:cs="Microsoft YaHei"/>
          <w:b w:val="0"/>
          <w:color w:val="000000"/>
        </w:rPr>
        <w:t>首轮验证应用建议使用记事本、资源管理器、浏览器与 VS Code。编辑器工作区、浏览器标签或 ComfyUI 状态恢复，只有应用公开支持的启动参数或 API 可用时才单独适配。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11 Windows 集成与兼容性边界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973"/>
        <w:gridCol w:w="4032"/>
        <w:gridCol w:w="3744"/>
      </w:tblGrid>
      <w:tr>
        <w:trPr>
          <w:cantSplit/>
          <w:tblHeader/>
        </w:trPr>
        <w:tc>
          <w:tcPr>
            <w:tcW w:type="dxa" w:w="1973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032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实现方向</w:t>
            </w:r>
          </w:p>
        </w:tc>
        <w:tc>
          <w:tcPr>
            <w:tcW w:type="dxa" w:w="374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降级与验收重点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全局快捷键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RegisterHotKey、冲突检测、退出释放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失败保留旧绑定并显示替代方案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单实例与托盘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用户会话互斥、激活 IPC、托盘菜单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Explorer 重启后重建托盘图标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DPI 与多显示器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Per Monitor V2、DPI/显示器变化事件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拔屏、负坐标、125%/150%/200%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窗口布局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枚举可管理窗口、位置与状态适配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不操作安全桌面与不可管理窗口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材质与圆角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DWM 能力检测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禁用透明、高对比度、远程环境下回退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性能采样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CPU/内存/网络基础接口；GPU 独立适配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无硬件支持时返回 unavailable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音频与亮度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Core Audio、受支持的亮度适配器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硬件变化、设备不存在与调用超时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电源与锁屏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系统会话、电源事件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暂停采样，唤醒后补扫与重新枚举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全屏应用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前台窗口与显示器占用状态判断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隐藏 Dock、Widget、桌宠，停止动画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多显示器不是把同一坐标复制到不同屏幕；宿主必须响应运行中的 DPI 变化。</w:t>
      </w:r>
      <w:hyperlink r:id="rId23">
        <w:r>
          <w:rPr>
            <w:color w:val="245C8D"/>
            <w:u w:val="single"/>
          </w:rPr>
          <w:t>Windows 高 DPI 开发说明</w:t>
        </w:r>
      </w:hyperlink>
      <w:r>
        <w:rPr>
          <w:rFonts w:ascii="Microsoft YaHei" w:hAnsi="Microsoft YaHei" w:eastAsia="Microsoft YaHei" w:cs="Microsoft YaHei"/>
          <w:b w:val="0"/>
          <w:color w:val="000000"/>
        </w:rPr>
        <w:t xml:space="preserve"> DWM 系统背景枚举从 Windows 11 Build 22621 起提供，因此材质使用能力检测和不透明回退。</w:t>
      </w:r>
      <w:hyperlink r:id="rId24">
        <w:r>
          <w:rPr>
            <w:color w:val="245C8D"/>
            <w:u w:val="single"/>
          </w:rPr>
          <w:t>DWM 背景类型</w:t>
        </w:r>
      </w:hyperlink>
    </w:p>
    <w:p>
      <w:r>
        <w:rPr>
          <w:rFonts w:ascii="Microsoft YaHei" w:hAnsi="Microsoft YaHei" w:eastAsia="Microsoft YaHei" w:cs="Microsoft YaHei"/>
          <w:b w:val="0"/>
          <w:color w:val="000000"/>
        </w:rPr>
        <w:t>不把 WorkerW 挂载、未公开虚拟桌面接口、默认音频切换私有接口或 Explorer 内部结构当作核心依赖。对无法用稳定接口完成的能力，先提供系统入口，再评估实验性适配器。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12 权限与扩展模型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12.1 权限原则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Host 默认使用普通用户权限。能力声明包含 resource.metadata.read、file.preview.read、process.launch、system.audio.write、clipboard.read 和 network.request 等，区分读取与修改。索引仅覆盖用户选择的范围，路径校验解析规范化结果并处理重解析点，不能只做字符串前缀比较。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脚本必须由用户显式创建或启用；保存可执行文件、参数数组与工作目录，禁止把搜索文本直接拼接到 shell。首次运行、导入后启用和参数发生重大变化时展示动作内容；提权由具体操作触发 Windows 自身流程。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网络默认关闭，未来连接器按域名和用途声明。日志默认本地保存并轮换，不记录文件正文、剪贴板正文或令牌；导出诊断前提供脱敏摘要。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12.2 插件能力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V0.1–V0.3 仅内置模块；V0.4 固定内部扩展协议并完成一个示例；V1.0 提供版本化 SDK、安装/卸载、能力清单、兼容检查和错误隔离。首发扩展类型限制为 SearchProvider、CommandProvider、WidgetProvider、ResourceMetadataProvider 与 ThemePack。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第三方扩展通过独立进程访问受限消息协议；命令超时、事件速率和内存异常必须可诊断、可禁用。扩展权限清单是 Host API 的访问控制，并不自动形成 OS 级安全沙箱：同用户运行的原生插件仍可能直接访问文件系统。因此 V1.0 仅支持用户明确信任的本地插件，不宣称能安全执行任意不可信代码。沙箱需另行验证 AppContainer 等隔离方案。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PowerToys Command Palette 已提供独立进程扩展机制，可用 1–2 个工程日做 Mosaic 搜索提供器验证，主要验证资源搜索与操作契约；这项实验不成为主产品依赖，也不同时维护两套完整启动器。</w:t>
      </w:r>
      <w:hyperlink r:id="rId25">
        <w:r>
          <w:rPr>
            <w:color w:val="245C8D"/>
            <w:u w:val="single"/>
          </w:rPr>
          <w:t>PowerToys 扩展架构</w:t>
        </w:r>
      </w:hyperlink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12.3 桌面精灵占位接口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预留 PetState、PetEvent、PetRenderer、HitTestMask、Anchor 与 Capability 六类契约。状态仅包括 Idle、Drag、Attention、Sleep 和 Hidden，绑定工作空间、全屏与电源状态。占位使用小圆形或矩形，默认关闭，没有生成式对话、资源扫描或后台自主动作。未来美术资源可以替换 Renderer，不改变资源和命令底座。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13 性能预算与验收口径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13.1 测试基线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建立并记录一台实体参考机：Windows 11 x64、4 核以上 CPU、16 GB RAM、NVMe；附带一台高 DPI 笔记本与外接显示器。GPU 指标另在实际支持的设备上验证。记录 CPU 型号、OS build、显示器 DPI、驱动、运行时版本与电源模式，避免把不同机器的结果混在一起。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搜索数据集分 10 万条本地索引资源和 100 万条 Everything 热索引两档，包含中文、英文、法文、长路径、同名文件和离线引用。单独报告首次扫描、冷查询、热查询和短字查询。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86"/>
        <w:gridCol w:w="2736"/>
        <w:gridCol w:w="5227"/>
      </w:tblGrid>
      <w:tr>
        <w:trPr>
          <w:cantSplit/>
          <w:tblHeader/>
        </w:trPr>
        <w:tc>
          <w:tcPr>
            <w:tcW w:type="dxa" w:w="1786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736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227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测量定义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Palette 热唤起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P95 &lt; 200 ms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快捷键被宿主接收到首个可输入帧；至少 200 次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文件名热查询</w:t>
            </w:r>
          </w:p>
        </w:tc>
        <w:tc>
          <w:tcPr>
            <w:tcW w:type="dxa" w:w="273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P95 &lt; 150 ms</w:t>
            </w:r>
          </w:p>
        </w:tc>
        <w:tc>
          <w:tcPr>
            <w:tcW w:type="dxa" w:w="522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查询提交到前 20 个可见结果；至少 1000 次分层样本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输入端到端响应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P95 &lt; 250 ms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含防抖、查询和绘制，另行统计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Dock 点击反馈</w:t>
            </w:r>
          </w:p>
        </w:tc>
        <w:tc>
          <w:tcPr>
            <w:tcW w:type="dxa" w:w="273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P95 &lt; 100 ms</w:t>
            </w:r>
          </w:p>
        </w:tc>
        <w:tc>
          <w:tcPr>
            <w:tcW w:type="dxa" w:w="522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输入到视觉反馈，不含目标应用启动耗时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轻量空闲 CPU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均值与 1 秒样本 P95 均 &lt; 1%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稳定 5 分钟后测 15 分钟，按整机逻辑处理器归一化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轻量空闲内存</w:t>
            </w:r>
          </w:p>
        </w:tc>
        <w:tc>
          <w:tcPr>
            <w:tcW w:type="dxa" w:w="273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目标 200–300 MB，门槛 ≤ 300 MB</w:t>
            </w:r>
          </w:p>
        </w:tc>
        <w:tc>
          <w:tcPr>
            <w:tcW w:type="dxa" w:w="522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Host 与 Mosaic 子进程 Private Bytes 合计，工作台已卸载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工作台内存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初始预算 ≤ 600 MB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一个工作台、10 个标准 Widget，须在预研后校准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工作空间切换</w:t>
            </w:r>
          </w:p>
        </w:tc>
        <w:tc>
          <w:tcPr>
            <w:tcW w:type="dxa" w:w="273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UI 应用 P95 &lt; 500 ms</w:t>
            </w:r>
          </w:p>
        </w:tc>
        <w:tc>
          <w:tcPr>
            <w:tcW w:type="dxa" w:w="5227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不含第三方应用启动；启动任务默认 15 秒超时并报告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稳定性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24 小时驻留通过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无崩溃、无持续增长的句柄/订阅或未界定内存增长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Everything 自身与本地模型运行时属于外部依赖，资源占用单独报告，同时列出整套启用后的总成本；不能通过遗漏 WebView2 子进程来满足内存目标。CPU 还报告 P95、峰值与持续高占用区间，平均值达标不能掩盖周期性卡顿。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隐身工作台、锁屏、全屏游戏与省电模式暂停非必要任务。监控采样集中订阅、查询可取消、缩略图限并发、列表虚拟化；第一阶段即测内存和输入延迟，不把优化全部拖到 V1.0。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14 测试与发布门槛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16"/>
        <w:gridCol w:w="3744"/>
        <w:gridCol w:w="3989"/>
      </w:tblGrid>
      <w:tr>
        <w:trPr>
          <w:cantSplit/>
          <w:tblHeader/>
        </w:trPr>
        <w:tc>
          <w:tcPr>
            <w:tcW w:type="dxa" w:w="2016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74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必测场景</w:t>
            </w:r>
          </w:p>
        </w:tc>
        <w:tc>
          <w:tcPr>
            <w:tcW w:type="dxa" w:w="3989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搜索与身份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中文、同名、重命名、跨卷、离线、无权限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结果正确，身份不误合并，失败有明确状态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数据安全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添加/移除集合、索引重建、卸载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原文件内容、位置与数量不被改变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键盘、输入法、读屏、长文本、缩放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完成核心任务，无焦点陷阱与不可见操作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多显示器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不同 DPI、负坐标、拔插、旋转、任务栏变化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所有窗口可见可操作，布局不永久丢失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系统恢复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Explorer 重启、锁屏、睡眠唤醒、驱动重置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托盘与界面恢复，资源服务正常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全屏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游戏、视频、演示、多屏全屏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不抢焦点，不覆盖目标全屏画面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进程故障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Indexer、WebView2、扩展进程异常退出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故障局部化，可重启，Explorer 可继续使用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更新恢复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安装中断、配置迁移失败、旧版回退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用户元数据可恢复，缓存可重建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模块开关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搜索独用、Dock 独用、监控关闭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不拉起无关进程，关闭后订阅归零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自动化以高价值逻辑为主：资源身份、规则树、排序、迁移、配置合并、命令能力校验、切换状态机及索引补扫。Web 用组件测试和浏览器测试；原生窗口、系统托盘、DPI、全屏和硬件必须在实际 Windows 环境补充验证。内存与延迟测试使用 Release 构建，不能只测开发服务器。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每个里程碑必须交付可安装包、变更说明、已知限制、数据迁移说明和测试记录。发布门槛为核心流程全部通过，无数据丢失、文件误操作、无法退出或系统桌面受影响的问题；未达性能目标需明确降级或调整范围后再发布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V0.3 前邀请 3–5 位试用者完成找文件、加入集合、切换工作空间、关闭模块四项任务。记录成功率、耗时与误操作，不以“看起来像参考图”作为唯一验收依据。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15 开发路线与工期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15.1 人员与估算假设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基准按 1 名熟悉 C# 与前端的全职工程师，每周约 4 天有效开发、1 天验证与整理；产品和设计由项目负责人持续参与。基础计划 26 周，预留 4 周处理 Windows 兼容性、返工和试用反馈，总体 26–30 周。桌宠美术、外部账户集成与插件商店不计入。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如果配置 1 名原生工程师、1 名前端工程师和兼职设计/测试，可在接口固定后并行推进，预估 16–20 周；需要增加评审和集成成本，不能直接按人数把工期除以二。两种估算均需在预研结束后用实际速度重估。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15.2 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498"/>
        <w:gridCol w:w="1354"/>
        <w:gridCol w:w="4104"/>
        <w:gridCol w:w="2794"/>
      </w:tblGrid>
      <w:tr>
        <w:trPr>
          <w:cantSplit/>
          <w:tblHeader/>
        </w:trPr>
        <w:tc>
          <w:tcPr>
            <w:tcW w:type="dxa" w:w="1498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35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单人基准周次</w:t>
            </w:r>
          </w:p>
        </w:tc>
        <w:tc>
          <w:tcPr>
            <w:tcW w:type="dxa" w:w="410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79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M0 技术与设计预研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W1–W2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原生窗口、DPI、WebView2、搜索与数据样机；核心流程线框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高风险能力有实测结论和回退方案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V0.1 基础桌面</w:t>
            </w:r>
          </w:p>
        </w:tc>
        <w:tc>
          <w:tcPr>
            <w:tcW w:type="dxa" w:w="135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W3–W6</w:t>
            </w:r>
          </w:p>
        </w:tc>
        <w:tc>
          <w:tcPr>
            <w:tcW w:type="dxa" w:w="410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Host、托盘、Dock、基础 Dashboard、Dark 主题、配置保存</w:t>
            </w:r>
          </w:p>
        </w:tc>
        <w:tc>
          <w:tcPr>
            <w:tcW w:type="dxa" w:w="279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可启动退出，布局重启不丢失，桌面兼容通过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V0.2 搜索版本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W7–W10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Palette、命令注册、应用发现、Everything 与本地索引、基础标签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搜索到打开/收藏闭环，降级搜索可用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V0.3 产品 MVP</w:t>
            </w:r>
          </w:p>
        </w:tc>
        <w:tc>
          <w:tcPr>
            <w:tcW w:type="dxa" w:w="135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W11–W16</w:t>
            </w:r>
          </w:p>
        </w:tc>
        <w:tc>
          <w:tcPr>
            <w:tcW w:type="dxa" w:w="410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资源库、三类集合、工作空间、快捷设置、基础 Studio</w:t>
            </w:r>
          </w:p>
        </w:tc>
        <w:tc>
          <w:tcPr>
            <w:tcW w:type="dxa" w:w="279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三个真实工作空间完成端到端验收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V0.4 个性化扩展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W17–W20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桌宠占位、剪贴板可选、资源暂存区、进阶 Widget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可独立关闭，隐私与性能退化检查通过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V1.0 稳定发行</w:t>
            </w:r>
          </w:p>
        </w:tc>
        <w:tc>
          <w:tcPr>
            <w:tcW w:type="dxa" w:w="135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W21–W26</w:t>
            </w:r>
          </w:p>
        </w:tc>
        <w:tc>
          <w:tcPr>
            <w:tcW w:type="dxa" w:w="410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SDK、配置迁移、导入导出完善、安装更新、性能与长期稳定</w:t>
            </w:r>
          </w:p>
        </w:tc>
        <w:tc>
          <w:tcPr>
            <w:tcW w:type="dxa" w:w="279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发布矩阵、恢复流程和文档完整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风险缓冲</w:t>
            </w:r>
          </w:p>
        </w:tc>
        <w:tc>
          <w:tcPr>
            <w:tcW w:type="dxa" w:w="135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W27–W30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兼容性修复、试用反馈、必要返工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按发布门槛收敛，不追加新功能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V0.1 就要建立最小 Resource 和 Command 契约，让 Dock 调用统一操作；V0.2 才增加完整索引和 Palette。V0.3 的配置导出先覆盖主题、布局和工作空间，V1.0 再完善插件配置迁移与跨版本兼容。性能、恢复和模块开关是贯穿各阶段的工作。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15.3 实施依赖与关键路径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关键路径为：窗口/DPI 验证 → Host 与资源命令契约 → 索引和搜索 → 资源集合 → 工作空间 → 跨版本配置与扩展。界面样式、图标整理和本地 Widget 可在契约固定后并行；模型推理、网络账户与桌宠美术不占用关键路径。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若 M0 发现桌面 Widget 层级不稳定，降级为可选浮窗；若 WebView2 释放后仍超预算，先缩减常驻窗口与预热策略；若跨应用布局恢复成功率不足，V0.3 保留启动与受支持应用布局，扩大适配推迟到 V0.4。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16 可执行任务清单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749"/>
        <w:gridCol w:w="3384"/>
        <w:gridCol w:w="1771"/>
        <w:gridCol w:w="3845"/>
      </w:tblGrid>
      <w:tr>
        <w:trPr>
          <w:cantSplit/>
          <w:tblHeader/>
        </w:trPr>
        <w:tc>
          <w:tcPr>
            <w:tcW w:type="dxa" w:w="749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8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771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优先级与阶段</w:t>
            </w:r>
          </w:p>
        </w:tc>
        <w:tc>
          <w:tcPr>
            <w:tcW w:type="dxa" w:w="3845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完成依据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定义资源、命令、事件和配置契约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M0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C# 与 TypeScript 示例消息互通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P02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验证桌面窗口、快捷键与多 DPI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M0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三种 DPI 与 Win+D 有记录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P03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验证 WebView2 生命周期和内存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M0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开关 20 次的进程/内存曲线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P04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比较 Everything 与本地索引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M0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固定数据集、中文与失败路径记录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单实例 Host、托盘、模块生命周期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V0.1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独立启停、异常恢复和安全退出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S02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Dock 固定项、排序、自动隐藏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V0.1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原生点击反馈与配置持久化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U01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Theme tokens 与原生/Web 一致性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V0.1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同一颜色与密度配置跨界面应用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U02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Dashboard 网格与初始 Widget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V0.1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拖动、取消、保存、重启恢复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D01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SQLite Schema、迁移和备份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V0.1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迁移失败可恢复，索引可重建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Q01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Palette、选择稳定性与输入法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V0.2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核心键盘与中文输入流程通过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Q02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提供器聚合、去重、取消与降级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V0.2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外部搜索离线仍可完成任务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Q03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目录索引、监听归并与补扫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V0.2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溢出、拔盘、唤醒后数据一致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R01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资源库列表、卡片、详情与集合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V0.3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同一资源跨入口状态一致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W01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工作空间切换与可恢复日志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V0.3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完成、部分失败、取消可解释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C01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快捷设置能力适配与回退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P1 / V0.3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可控设备与不支持设备均通过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U03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Studio 草稿预览与配置导出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V0.3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取消不残留变更，导入不执行脚本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E01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桌宠占位与资源暂存区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P2 / V0.4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暂存只存引用，禁用后无后台负担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E02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可选剪贴板历史与清空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P2 / V0.4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默认关闭，限容量，可暂停/清空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X01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插件协议、示例和故障隔离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P1 / V1.0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兼容拒绝、超时与崩溃可恢复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O01</w:t>
            </w:r>
          </w:p>
        </w:tc>
        <w:tc>
          <w:tcPr>
            <w:tcW w:type="dxa" w:w="338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安装、签名、更新与回退</w:t>
            </w:r>
          </w:p>
        </w:tc>
        <w:tc>
          <w:tcPr>
            <w:tcW w:type="dxa" w:w="1771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P0 / V1.0</w:t>
            </w:r>
          </w:p>
        </w:tc>
        <w:tc>
          <w:tcPr>
            <w:tcW w:type="dxa" w:w="3845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干净机器与升级回退验证通过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P0 为阶段发布必须完成，P1 为该阶段计划能力但允许明确范围缩减，P2 为可延期体验项。剪贴板历史启用后默认只保留有限文本与文件引用，设保留期限并排除已知敏感格式；不承诺自动识别所有敏感内容。暂存区仅管理引用，不移动文件。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color w:val="000000"/>
        </w:rPr>
        <w:t>16.1 前十个工作日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第 1–2 天固定产品边界、核心对象和五条端到端流程，绘制六个界面线框。第 3–4 天搭建 Host 原型，测快捷键、DPI、托盘恢复和 Dock 层级。第 5–6 天接入工作台和消息桥，测打开、隐藏、卸载与图表订阅。第 7–8 天测试资源身份、Everything、本地查询与中文短词。第 9 天合并一个“搜索 → 收藏 → Dock 打开”的垂直样例。第 10 天记录性能与风险，决定 M0 是否通过并更新后续排期。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M0 的 UI 原型与测量样机可以使用测试资源；进入 V0.1 后需逐步接上真实数据。下一步开发从 M0 开始，不直接一次性铺开全部模块。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17 工程组织与交付方式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建议代码目录如下，UI 层不能直接引用平台 P/Invoke 实现，平台适配器通过接口注入。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>Mosaic.Desktop/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docs/                     项目文档、接口、ADR、验收记录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src/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Mosaic.Host/            WPF 宿主、窗口、托盘、生命周期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Mosaic.Core/            资源、命令、搜索、工作空间服务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Mosaic.Contracts/       版本化 DTO、能力与协议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Mosaic.Infrastructure/  SQLite、备份、缓存、日志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Mosaic.Platform.Windows/ Win32、音频、显示器和窗口适配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Mosaic.Indexer/         目录扫描工作进程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Mosaic.Workbench/       React Dashboard、Library、Studio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Mosaic.PreviewWorker/   后续格式预览隔离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  Mosaic.ExtensionHost/   后续扩展运行时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packages/design-tokens/   共享视觉变量与生成器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tests/                    单元、集成、端到端与性能用例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samples/                  示例 Widget、插件与配置</w:t>
      </w:r>
    </w:p>
    <w:p>
      <w:pPr>
        <w:spacing w:after="20" w:line="252" w:lineRule="auto"/>
      </w:pPr>
      <w:r>
        <w:rPr>
          <w:rFonts w:ascii="Consolas" w:hAnsi="Consolas" w:eastAsia="Microsoft YaHei" w:cs="Microsoft YaHei"/>
          <w:color w:val="000000"/>
          <w:sz w:val="17"/>
        </w:rPr>
        <w:t xml:space="preserve">  packaging/                安装、签名与升级脚本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使用统一命名空间的命令，例如 resource.open、resource.reveal、resource.copyPath、collection.addMember、workspace.activate、shell.showDashboard。命令声明输入 Schema、适用资源类型、所需能力、是否有副作用、是否支持撤销；通过 CanExecute 和 Execute 返回可理解的结果。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CI 在 Windows 构建原生项目，前端执行类型检查和打包，运行测试并保存安装产物。先锁定 SDK 与依赖，再评估升级；记录依赖许可证与软件物料清单。发布前人工验收实际 DPI、全屏、睡眠和外接硬件。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早期以按用户安装包为默认候选，M0 同时验证 MSIX 与普通按用户安装对托盘、开机启动、外部 IPC 和更新的影响后固定一种。开机启动由用户选择；升级退出相关进程、备份数据、验证安装签名与版本，再做迁移。卸载默认保留用户配置并提供清理选项，原始资源文件从不作为卸载目标。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18 风险与决策记录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16"/>
        <w:gridCol w:w="3744"/>
        <w:gridCol w:w="3989"/>
      </w:tblGrid>
      <w:tr>
        <w:trPr>
          <w:cantSplit/>
          <w:tblHeader/>
        </w:trPr>
        <w:tc>
          <w:tcPr>
            <w:tcW w:type="dxa" w:w="2016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744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触发信号</w:t>
            </w:r>
          </w:p>
        </w:tc>
        <w:tc>
          <w:tcPr>
            <w:tcW w:type="dxa" w:w="3989"/>
            <w:vAlign w:val="center"/>
            <w:shd w:fill="213B5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处置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桌面窗口层级不稳定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Win+D、Explorer 重启或全屏后异常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桌面 Widget 改为可选浮窗，保留 Dashboard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混合 UI 成本超预算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常驻内存高、消息桥复杂、样式分叉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限定原生/Web 分工，单工作台，取消预热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搜索中文体验差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短词漏搜、长路径慢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单独索引策略与覆盖范围提示，建立查询样本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文件身份关联错误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跨卷后收藏指向其他文件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保守关联、保留 Missing 状态、人工重新链接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硬件指标或控制不一致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GPU、亮度或设备切换失败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能力探测、适配器名单、系统设置回退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工作空间部分失败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窗口不出现、权限阻止或动作超时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独立步骤日志、限制重试、允许跳过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插件破坏安全或稳定性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越权、崩溃、持续高占用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信任模型、进程隔离、停用与安全模式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范围持续膨胀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加入壁纸引擎、云同步、模型运行器</w:t>
            </w:r>
          </w:p>
        </w:tc>
        <w:tc>
          <w:tcPr>
            <w:tcW w:type="dxa" w:w="3989"/>
            <w:vAlign w:val="center"/>
            <w:shd w:fill="F2F5F8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11111"/>
                <w:sz w:val="18"/>
              </w:rPr>
              <w:t>回到 MVP 任务闭环，另建后续版本计划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已采用的决策是混合 UI、统一资源身份、统一命令、虚拟分类、可选 Everything、普通用户权限及逐模块启停。待 M0 实测后固定的项目为桌面 Widget 层级方案、WebView2 控件方式、安装包形式、工作台内存预算、中文索引策略与首批受支持应用。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首发界面默认简体中文，保留英文资源字典与本地化键；时间、数字和单位遵循用户地区设置。测试环境的机器参数、品牌资产许可和具体试用名单在发布前补齐，不阻塞 M0 的技术验证。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19 项目完成定义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项目进入 V1.0 时，用户能够从干净安装开始配置桌面、发现与组织真实资源、切换工作空间，并按需禁用任意可见模块；重启、异常恢复、升级和卸载不损坏原始文件或 Windows 桌面。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交付包必须包含可安装应用、模块说明、受支持系统与应用列表、配置导入导出规范、插件示例、测试和性能报告，以及可复现的构建说明。桌面精灵的正式美术素材仍是独立后续任务，不作为本项目技术闭环的前置条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color w:val="000000"/>
        </w:rPr>
        <w:t>20 技术依据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以下为 2026 年 10 月 22 日核查的官方资料。它们说明平台能力与限制；本项目的模块拆分、排期和性能预算属于实施设计，仍需实测。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1. </w:t>
      </w:r>
      <w:hyperlink r:id="rId14">
        <w:r>
          <w:rPr>
            <w:color w:val="245C8D"/>
            <w:u w:val="single"/>
          </w:rPr>
          <w:t>.NET 发布与支持周期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2. </w:t>
      </w:r>
      <w:hyperlink r:id="rId11">
        <w:r>
          <w:rPr>
            <w:color w:val="245C8D"/>
            <w:u w:val="single"/>
          </w:rPr>
          <w:t>Windows 系统背景材质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3. </w:t>
      </w:r>
      <w:hyperlink r:id="rId24">
        <w:r>
          <w:rPr>
            <w:color w:val="245C8D"/>
            <w:u w:val="single"/>
          </w:rPr>
          <w:t>DWM 系统背景类型与最低版本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4. </w:t>
      </w:r>
      <w:hyperlink r:id="rId15">
        <w:r>
          <w:rPr>
            <w:color w:val="245C8D"/>
            <w:u w:val="single"/>
          </w:rPr>
          <w:t>WebView2 进程模型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5. </w:t>
      </w:r>
      <w:hyperlink r:id="rId18">
        <w:r>
          <w:rPr>
            <w:color w:val="245C8D"/>
            <w:u w:val="single"/>
          </w:rPr>
          <w:t>WPF WebView2 与界面层级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6. </w:t>
      </w:r>
      <w:hyperlink r:id="rId17">
        <w:r>
          <w:rPr>
            <w:color w:val="245C8D"/>
            <w:u w:val="single"/>
          </w:rPr>
          <w:t>WebView2 安全开发建议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7. </w:t>
      </w:r>
      <w:hyperlink r:id="rId19">
        <w:r>
          <w:rPr>
            <w:color w:val="245C8D"/>
            <w:u w:val="single"/>
          </w:rPr>
          <w:t>Everything SDK 与 IPC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8. </w:t>
      </w:r>
      <w:hyperlink r:id="rId21">
        <w:r>
          <w:rPr>
            <w:color w:val="245C8D"/>
            <w:u w:val="single"/>
          </w:rPr>
          <w:t>SQLite FTS5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9. </w:t>
      </w:r>
      <w:hyperlink r:id="rId20">
        <w:r>
          <w:rPr>
            <w:color w:val="245C8D"/>
            <w:u w:val="single"/>
          </w:rPr>
          <w:t>FileSystemWatcher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10. </w:t>
      </w:r>
      <w:hyperlink r:id="rId23">
        <w:r>
          <w:rPr>
            <w:color w:val="245C8D"/>
            <w:u w:val="single"/>
          </w:rPr>
          <w:t>Windows 高 DPI 开发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11. </w:t>
      </w:r>
      <w:hyperlink r:id="rId22">
        <w:r>
          <w:rPr>
            <w:color w:val="245C8D"/>
            <w:u w:val="single"/>
          </w:rPr>
          <w:t>SetForegroundWindow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12. </w:t>
      </w:r>
      <w:hyperlink r:id="rId12">
        <w:r>
          <w:rPr>
            <w:color w:val="245C8D"/>
            <w:u w:val="single"/>
          </w:rPr>
          <w:t>Core Audio 端点音量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13. </w:t>
      </w:r>
      <w:hyperlink r:id="rId13">
        <w:r>
          <w:rPr>
            <w:color w:val="245C8D"/>
            <w:u w:val="single"/>
          </w:rPr>
          <w:t>SetMonitorBrightness</w:t>
        </w:r>
      </w:hyperlink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14. </w:t>
      </w:r>
      <w:hyperlink r:id="rId25">
        <w:r>
          <w:rPr>
            <w:color w:val="245C8D"/>
            <w:u w:val="single"/>
          </w:rPr>
          <w:t>PowerToys Command Palette 扩展模型</w:t>
        </w:r>
      </w:hyperlink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666666"/>
        <w:sz w:val="16"/>
      </w:rPr>
      <w:t xml:space="preserve">Mosaic Desktop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8" w:lineRule="auto" w:after="100" w:before="0"/>
    </w:pPr>
    <w:rPr>
      <w:rFonts w:ascii="Microsoft YaHei" w:hAnsi="Microsoft YaHei" w:eastAsia="Microsoft YaHei" w:cs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4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276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80" w:line="276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/>
      <w:ind w:left="216" w:hanging="173"/>
      <w:contextualSpacing/>
    </w:pPr>
    <w:rPr>
      <w:rFonts w:ascii="Microsoft YaHei" w:hAnsi="Microsoft YaHei" w:eastAsia="Microsoft YaHei" w:cs="Microsoft YaHei"/>
      <w:i w:val="0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Microsoft YaHei" w:hAnsi="Microsoft YaHei" w:eastAsia="Microsoft YaHei" w:cs="Microsoft YaHei"/>
      <w:i w:val="0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80" w:after="180"/>
    </w:pPr>
    <w:rPr>
      <w:rFonts w:ascii="Microsoft YaHei" w:hAnsi="Microsoft YaHei" w:eastAsia="Microsoft YaHei" w:cs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learn.microsoft.com/en-us/windows/apps/develop/ui/system-backdrops" TargetMode="External"/><Relationship Id="rId12" Type="http://schemas.openxmlformats.org/officeDocument/2006/relationships/hyperlink" Target="https://learn.microsoft.com/en-us/windows/win32/coreaudio/endpoint-volume-controls" TargetMode="External"/><Relationship Id="rId13" Type="http://schemas.openxmlformats.org/officeDocument/2006/relationships/hyperlink" Target="https://learn.microsoft.com/en-us/windows/win32/api/highlevelmonitorconfigurationapi/nf-highlevelmonitorconfigurationapi-setmonitorbrightness" TargetMode="External"/><Relationship Id="rId14" Type="http://schemas.openxmlformats.org/officeDocument/2006/relationships/hyperlink" Target="https://learn.microsoft.com/en-us/dotnet/core/releases-and-support" TargetMode="External"/><Relationship Id="rId15" Type="http://schemas.openxmlformats.org/officeDocument/2006/relationships/hyperlink" Target="https://learn.microsoft.com/en-us/microsoft-edge/webview2/concepts/process-model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learn.microsoft.com/en-us/microsoft-edge/webview2/concepts/security" TargetMode="External"/><Relationship Id="rId18" Type="http://schemas.openxmlformats.org/officeDocument/2006/relationships/hyperlink" Target="https://learn.microsoft.com/en-us/microsoft-edge/webview2/platforms/wpf" TargetMode="External"/><Relationship Id="rId19" Type="http://schemas.openxmlformats.org/officeDocument/2006/relationships/hyperlink" Target="https://www.voidtools.com/support/everything/sdk/" TargetMode="External"/><Relationship Id="rId20" Type="http://schemas.openxmlformats.org/officeDocument/2006/relationships/hyperlink" Target="https://learn.microsoft.com/en-us/dotnet/api/system.io.filesystemwatcher?view=net-10.0" TargetMode="External"/><Relationship Id="rId21" Type="http://schemas.openxmlformats.org/officeDocument/2006/relationships/hyperlink" Target="https://www.sqlite.org/fts5.html" TargetMode="External"/><Relationship Id="rId22" Type="http://schemas.openxmlformats.org/officeDocument/2006/relationships/hyperlink" Target="https://learn.microsoft.com/en-us/windows/win32/api/winuser/nf-winuser-setforegroundwindow" TargetMode="External"/><Relationship Id="rId23" Type="http://schemas.openxmlformats.org/officeDocument/2006/relationships/hyperlink" Target="https://learn.microsoft.com/en-us/windows/win32/hidpi/high-dpi-desktop-application-development-on-windows" TargetMode="External"/><Relationship Id="rId24" Type="http://schemas.openxmlformats.org/officeDocument/2006/relationships/hyperlink" Target="https://learn.microsoft.com/en-us/windows/win32/api/dwmapi/ne-dwmapi-dwm_systembackdrop_type" TargetMode="External"/><Relationship Id="rId25" Type="http://schemas.openxmlformats.org/officeDocument/2006/relationships/hyperlink" Target="https://learn.microsoft.com/en-us/windows/powertoys/command-palette/extensibility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Mosaic Desktop 项目实施文档</dc:title>
  <dc:subject>产品需求、交互规范、技术架构与实施路线</dc:subject>
  <dc:creator>Mosaic Desktop</dc:creator>
  <cp:keywords>Windows, WPF, WebView2, Mosaic Desktop, 项目规划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