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;SimHei" w:hAnsi="黑体;SimHei" w:eastAsia="黑体;SimHei"/>
          <w:sz w:val="36"/>
          <w:szCs w:val="36"/>
        </w:rPr>
      </w:pPr>
      <w:r>
        <w:rPr>
          <w:rFonts w:ascii="黑体;SimHei" w:hAnsi="黑体;SimHei" w:hint="eastAsia" w:eastAsia="黑体;SimHei"/>
          <w:sz w:val="36"/>
          <w:szCs w:val="36"/>
        </w:rPr>
        <w:t xml:space="preserve">密级：秘密</w:t>
      </w:r>
    </w:p>
    <w:p>
      <w:pPr>
        <w:pStyle w:val="Normal"/>
        <w:rPr>
          <w:rFonts w:eastAsia="楷体_GB2312;微软雅黑" w:hint="eastAsia"/>
          <w:sz w:val="28"/>
        </w:rPr>
      </w:pPr>
      <w:r>
        <w:rPr>
          <w:rFonts w:hint="eastAsia" w:eastAsia="楷体_GB2312;微软雅黑"/>
          <w:sz w:val="28"/>
        </w:rPr>
        <w:t xml:space="preserve">文档编号：D0000-PPC-RA2026-PPD-2026</w:t>
      </w:r>
    </w:p>
    <w:p>
      <w:pPr>
        <w:pStyle w:val="Normal"/>
        <w:rPr>
          <w:rFonts w:eastAsia="楷体_GB2312;微软雅黑" w:hint="eastAsia"/>
          <w:color w:val="0000FF"/>
          <w:sz w:val="28"/>
        </w:rPr>
      </w:pPr>
      <w:r>
        <w:rPr>
          <w:rFonts w:hint="eastAsia" w:eastAsia="楷体_GB2312;微软雅黑"/>
          <w:sz w:val="28"/>
        </w:rPr>
        <w:t xml:space="preserve">项目名称：RentAgent —— 基于 AI 智能体的房屋租赁系统</w:t>
      </w:r>
    </w:p>
    <w:p>
      <w:pPr>
        <w:pStyle w:val="Normal"/>
        <w:rPr>
          <w:rFonts w:eastAsia="楷体_GB2312;微软雅黑" w:hint="eastAsia"/>
          <w:color w:val="0000FF"/>
          <w:sz w:val="28"/>
        </w:rPr>
      </w:pPr>
      <w:r>
        <w:rPr>
          <w:rFonts w:hint="eastAsia" w:eastAsia="楷体_GB2312;微软雅黑"/>
          <w:sz w:val="28"/>
        </w:rPr>
        <w:t xml:space="preserve">项目编号：RA2026</w:t>
      </w:r>
    </w:p>
    <w:p>
      <w:pPr>
        <w:pStyle w:val="Normal"/>
        <w:spacing w:before="0" w:after="0" w:line="140" w:lineRule="exact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eastAsia="楷体_GB2312;微软雅黑" w:hint="eastAsia" w:ascii="楷体_GB2312;微软雅黑" w:hAnsi="楷体_GB2312;微软雅黑"/>
          <w:color w:val="0000FF"/>
          <w:sz w:val="12"/>
          <w:szCs w:val="12"/>
        </w:rPr>
        <w:t xml:space="preserve"/>
      </w:r>
    </w:p>
    <w:p>
      <w:pPr>
        <w:pStyle w:val="Normal"/>
        <w:spacing w:before="0" w:after="0" w:line="140" w:lineRule="exact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eastAsia="楷体_GB2312;微软雅黑" w:ascii="楷体_GB2312;微软雅黑" w:hAnsi="楷体_GB2312;微软雅黑"/>
          <w:sz w:val="12"/>
          <w:szCs w:val="12"/>
        </w:rPr>
        <w:t xml:space="preserve"/>
      </w:r>
    </w:p>
    <w:p>
      <w:pPr>
        <w:pStyle w:val="Normal"/>
        <w:snapToGrid w:val="false"/>
        <w:jc w:val="center"/>
        <w:rPr>
          <w:rFonts w:eastAsia="楷体_GB2312;微软雅黑" w:hint="eastAsia"/>
          <w:sz w:val="84"/>
          <w:szCs w:val="84"/>
        </w:rPr>
      </w:pPr>
      <w:r>
        <w:rPr>
          <w:rFonts w:hint="eastAsia" w:eastAsia="楷体_GB2312;微软雅黑"/>
          <w:sz w:val="84"/>
          <w:szCs w:val="84"/>
        </w:rPr>
        <w:t xml:space="preserve">需求定义说明书</w:t>
      </w:r>
    </w:p>
    <w:p>
      <w:pPr>
        <w:pStyle w:val="Normal"/>
        <w:jc w:val="center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ascii="楷体_GB2312;微软雅黑" w:hAnsi="楷体_GB2312;微软雅黑" w:hint="eastAsia" w:eastAsia="楷体_GB2312;微软雅黑"/>
          <w:sz w:val="28"/>
          <w:szCs w:val="28"/>
        </w:rPr>
        <w:t xml:space="preserve">版本：V1.1</w:t>
      </w:r>
    </w:p>
    <w:p>
      <w:pPr>
        <w:pStyle w:val="Normal"/>
        <w:jc w:val="center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eastAsia="楷体_GB2312;微软雅黑" w:ascii="楷体_GB2312;微软雅黑" w:hAnsi="楷体_GB2312;微软雅黑"/>
          <w:sz w:val="28"/>
          <w:szCs w:val="28"/>
        </w:rPr>
        <w:t xml:space="preserve">2026-09-17</w:t>
      </w:r>
    </w:p>
    <w:p>
      <w:pPr>
        <w:pStyle w:val="Normal"/>
        <w:spacing w:before="0" w:after="0" w:line="140" w:lineRule="exact"/>
        <w:jc w:val="center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eastAsia="楷体_GB2312;微软雅黑" w:ascii="楷体_GB2312;微软雅黑" w:hAnsi="楷体_GB2312;微软雅黑"/>
          <w:sz w:val="12"/>
          <w:szCs w:val="12"/>
        </w:rPr>
        <w:t xml:space="preserve"/>
      </w:r>
    </w:p>
    <w:p>
      <w:pPr>
        <w:pStyle w:val="Normal"/>
        <w:spacing w:before="0" w:after="0" w:line="140" w:lineRule="exact"/>
        <w:jc w:val="center"/>
        <w:rPr>
          <w:rFonts w:ascii="楷体_GB2312;微软雅黑" w:hAnsi="楷体_GB2312;微软雅黑" w:eastAsia="楷体_GB2312;微软雅黑"/>
          <w:sz w:val="28"/>
          <w:szCs w:val="28"/>
        </w:rPr>
      </w:pPr>
      <w:r>
        <w:rPr>
          <w:rFonts w:eastAsia="楷体_GB2312;微软雅黑" w:ascii="楷体_GB2312;微软雅黑" w:hAnsi="楷体_GB2312;微软雅黑"/>
          <w:sz w:val="12"/>
          <w:szCs w:val="12"/>
        </w:rPr>
        <w:t xml:space="preserve"/>
      </w:r>
    </w:p>
    <w:p>
      <w:pPr>
        <w:pStyle w:val="Normal"/>
        <w:jc w:val="center"/>
        <w:rPr>
          <w:rFonts w:ascii="楷体_GB2312;微软雅黑" w:hAnsi="楷体_GB2312;微软雅黑" w:eastAsia="楷体_GB2312;微软雅黑"/>
          <w:sz w:val="30"/>
          <w:szCs w:val="30"/>
        </w:rPr>
      </w:pPr>
      <w:r>
        <w:rPr>
          <w:rFonts w:ascii="楷体_GB2312;微软雅黑" w:hAnsi="楷体_GB2312;微软雅黑" w:hint="eastAsia" w:eastAsia="楷体_GB2312;微软雅黑"/>
          <w:sz w:val="30"/>
          <w:szCs w:val="30"/>
        </w:rPr>
        <w:t xml:space="preserve">大连理工大学创新实践基地</w:t>
      </w:r>
    </w:p>
    <w:p>
      <w:pPr>
        <w:pStyle w:val="Normal"/>
        <w:jc w:val="center"/>
        <w:rPr>
          <w:rFonts w:ascii="黑体;SimHei" w:hAnsi="黑体;SimHei" w:eastAsia="黑体;SimHei" w:hint="eastAsia"/>
          <w:sz w:val="30"/>
          <w:szCs w:val="30"/>
        </w:rPr>
      </w:pPr>
      <w:r>
        <w:rPr>
          <w:rFonts w:eastAsia="黑体;SimHei" w:hint="eastAsia" w:ascii="黑体;SimHei" w:hAnsi="黑体;SimHei"/>
          <w:sz w:val="30"/>
          <w:szCs w:val="30"/>
        </w:rPr>
        <w:t xml:space="preserve">(版权所有，翻版必究)</w:t>
      </w:r>
    </w:p>
    <w:p>
      <w:pPr>
        <w:pStyle w:val="xl40"/>
        <w:widowControl w:val="false"/>
        <w:spacing w:before="0" w:after="0" w:line="140" w:lineRule="exact"/>
        <w:textAlignment w:val="auto"/>
        <w:rPr>
          <w:rFonts w:ascii="Times New Roman" w:hAnsi="Times New Roman" w:eastAsia="楷体_GB2312;微软雅黑" w:cs="Times New Roman"/>
          <w:kern w:val="2"/>
          <w:szCs w:val="24"/>
        </w:rPr>
      </w:pPr>
      <w:r>
        <w:rPr>
          <w:rFonts w:eastAsia="楷体_GB2312;微软雅黑" w:cs="Times New Roman" w:hint="eastAsia" w:ascii="Times New Roman" w:hAnsi="Times New Roman"/>
          <w:kern w:val="2"/>
          <w:sz w:val="12"/>
          <w:szCs w:val="12"/>
        </w:rPr>
      </w:r>
    </w:p>
    <w:tbl>
      <w:tblPr>
        <w:tblW w:w="92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60"/>
        <w:gridCol w:w="1108"/>
        <w:gridCol w:w="1080"/>
        <w:gridCol w:w="1080"/>
        <w:gridCol w:w="1080"/>
        <w:gridCol w:w="1260"/>
        <w:gridCol w:w="1357"/>
        <w:gridCol w:w="1161"/>
      </w:tblGrid>
      <w:tr>
        <w:trPr>
          <w:trHeight w:val="428" w:hRule="atLeast"/>
        </w:trPr>
        <w:tc>
          <w:tcPr>
            <w:tcW w:w="1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ascii="幼圆" w:hAnsi="幼圆" w:hint="eastAsia" w:eastAsia="楷体_GB2312;微软雅黑"/>
              </w:rPr>
              <w:t>总页数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eastAsia="楷体_GB2312;微软雅黑" w:hint="eastAsia" w:ascii="幼圆" w:hAnsi="幼圆"/>
                <w:sz w:val="16"/>
                <w:szCs w:val="16"/>
              </w:rPr>
              <w:t xml:space="preserve">28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ascii="幼圆" w:hAnsi="幼圆" w:hint="eastAsia" w:eastAsia="楷体_GB2312;微软雅黑"/>
              </w:rPr>
              <w:t>正文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eastAsia="楷体_GB2312;微软雅黑" w:hint="eastAsia" w:ascii="幼圆" w:hAnsi="幼圆"/>
                <w:sz w:val="16"/>
                <w:szCs w:val="16"/>
              </w:rPr>
              <w:t xml:space="preserve">24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ascii="幼圆" w:hAnsi="幼圆" w:hint="eastAsia" w:eastAsia="楷体_GB2312;微软雅黑"/>
              </w:rPr>
              <w:t>附录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eastAsia="楷体_GB2312;微软雅黑" w:hint="eastAsia" w:ascii="幼圆" w:hAnsi="幼圆"/>
                <w:sz w:val="16"/>
                <w:szCs w:val="16"/>
              </w:rPr>
              <w:t xml:space="preserve">无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ascii="幼圆" w:hAnsi="幼圆" w:hint="eastAsia" w:eastAsia="楷体_GB2312;微软雅黑"/>
              </w:rPr>
              <w:t>生效日期</w:t>
            </w:r>
          </w:p>
        </w:tc>
        <w:tc>
          <w:tcPr>
            <w:tcW w:w="1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eastAsia="楷体_GB2312;微软雅黑" w:hint="eastAsia" w:ascii="幼圆" w:hAnsi="幼圆"/>
                <w:sz w:val="16"/>
                <w:szCs w:val="16"/>
              </w:rPr>
              <w:t xml:space="preserve">2026.09.17</w:t>
            </w:r>
          </w:p>
        </w:tc>
      </w:tr>
      <w:tr>
        <w:trPr>
          <w:trHeight w:val="461" w:hRule="atLeast"/>
          <w:cantSplit/>
        </w:trPr>
        <w:tc>
          <w:tcPr>
            <w:tcW w:w="1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幼圆" w:hAnsi="幼圆" w:eastAsia="楷体_GB2312;微软雅黑" w:hint="eastAsia"/>
              </w:rPr>
            </w:pPr>
            <w:r>
              <w:rPr>
                <w:rFonts w:ascii="幼圆" w:hAnsi="幼圆" w:hint="eastAsia" w:eastAsia="楷体_GB2312;微软雅黑"/>
              </w:rPr>
              <w:t>编制</w:t>
            </w:r>
          </w:p>
        </w:tc>
        <w:tc>
          <w:tcPr>
            <w:tcW w:w="32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l45"/>
              <w:widowControl w:val="false"/>
              <w:snapToGrid w:val="false"/>
              <w:spacing w:before="0" w:after="0"/>
              <w:textAlignment w:val="auto"/>
              <w:rPr>
                <w:rFonts w:eastAsia="楷体_GB2312;微软雅黑" w:cs="Times New Roman"/>
                <w:kern w:val="2"/>
              </w:rPr>
            </w:pPr>
            <w:r>
              <w:rPr>
                <w:rFonts w:eastAsia="楷体_GB2312;微软雅黑" w:cs="Times New Roman" w:hint="eastAsia"/>
                <w:kern w:val="2"/>
              </w:rPr>
              <w:t xml:space="preserve">王硕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l26"/>
              <w:widowControl w:val="false"/>
              <w:spacing w:before="0" w:after="0"/>
              <w:jc w:val="center"/>
              <w:textAlignment w:val="auto"/>
              <w:rPr>
                <w:rFonts w:ascii="幼圆" w:hAnsi="幼圆" w:eastAsia="楷体_GB2312;微软雅黑" w:cs="Times New Roman" w:hint="eastAsia"/>
                <w:kern w:val="2"/>
              </w:rPr>
            </w:pPr>
            <w:r>
              <w:rPr>
                <w:rFonts w:ascii="幼圆" w:hAnsi="幼圆" w:cs="Times New Roman" w:hint="eastAsia" w:eastAsia="楷体_GB2312;微软雅黑"/>
                <w:kern w:val="2"/>
              </w:rPr>
              <w:t>批准</w:t>
            </w:r>
          </w:p>
        </w:tc>
        <w:tc>
          <w:tcPr>
            <w:tcW w:w="37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l26"/>
              <w:widowControl w:val="false"/>
              <w:snapToGrid w:val="false"/>
              <w:spacing w:before="0" w:after="0"/>
              <w:jc w:val="center"/>
              <w:textAlignment w:val="auto"/>
              <w:rPr>
                <w:rFonts w:ascii="幼圆" w:hAnsi="幼圆" w:eastAsia="楷体_GB2312;微软雅黑" w:cs="Times New Roman" w:hint="eastAsia"/>
                <w:kern w:val="2"/>
              </w:rPr>
            </w:pPr>
            <w:r>
              <w:rPr>
                <w:rFonts w:eastAsia="楷体_GB2312;微软雅黑" w:cs="Times New Roman" w:hint="eastAsia" w:ascii="幼圆" w:hAnsi="幼圆"/>
                <w:kern w:val="2"/>
              </w:rPr>
              <w:t xml:space="preserve">姜厚云</w:t>
            </w:r>
          </w:p>
        </w:tc>
      </w:tr>
    </w:tbl>
    <w:p>
      <w:pPr>
        <w:pStyle w:val="Normal"/>
        <w:rPr>
          <w:rFonts w:hint="eastAsia"/>
        </w:r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1906" w:h="16838"/>
          <w:pgMar w:left="1418" w:right="851" w:gutter="0" w:header="737" w:top="1134" w:footer="737" w:bottom="1134"/>
          <w:pgNumType w:fmt="decimal"/>
          <w:formProt w:val="false"/>
          <w:titlePg/>
          <w:textDirection w:val="lrTb"/>
          <w:docGrid w:type="linesAndChars" w:linePitch="312" w:charSpace="0"/>
        </w:sect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hint="eastAsia"/>
          <w:sz w:val="32"/>
          <w:szCs w:val="44"/>
        </w:rPr>
      </w:pPr>
      <w:r>
        <w:rPr/>
        <w:t>文件修改控制</w:t>
      </w:r>
    </w:p>
    <w:tbl>
      <w:tblPr>
        <w:tblW w:w="836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81"/>
        <w:gridCol w:w="1593"/>
        <w:gridCol w:w="3935"/>
        <w:gridCol w:w="1560"/>
      </w:tblGrid>
      <w:tr>
        <w:trPr>
          <w:trHeight w:val="300" w:hRule="atLeast"/>
        </w:trPr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CC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楷体_GB2312;微软雅黑" w:hAnsi="楷体_GB2312;微软雅黑" w:eastAsia="楷体_GB2312;微软雅黑" w:cs="宋体;SimSun"/>
                <w:b/>
                <w:bCs/>
                <w:kern w:val="0"/>
                <w:sz w:val="24"/>
              </w:rPr>
            </w:pPr>
            <w:r>
              <w:rPr>
                <w:rFonts w:ascii="楷体_GB2312;微软雅黑" w:hAnsi="楷体_GB2312;微软雅黑" w:cs="宋体;SimSun" w:hint="eastAsia" w:eastAsia="楷体_GB2312;微软雅黑"/>
                <w:b/>
                <w:bCs/>
                <w:kern w:val="0"/>
                <w:sz w:val="24"/>
              </w:rPr>
              <w:t>修改编号</w:t>
            </w:r>
          </w:p>
        </w:tc>
        <w:tc>
          <w:tcPr>
            <w:tcW w:w="159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99CC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楷体_GB2312;微软雅黑" w:hAnsi="楷体_GB2312;微软雅黑" w:eastAsia="楷体_GB2312;微软雅黑" w:cs="宋体;SimSun"/>
                <w:b/>
                <w:bCs/>
                <w:kern w:val="0"/>
                <w:sz w:val="24"/>
              </w:rPr>
            </w:pPr>
            <w:r>
              <w:rPr>
                <w:rFonts w:ascii="楷体_GB2312;微软雅黑" w:hAnsi="楷体_GB2312;微软雅黑" w:cs="宋体;SimSun" w:hint="eastAsia" w:eastAsia="楷体_GB2312;微软雅黑"/>
                <w:b/>
                <w:bCs/>
                <w:kern w:val="0"/>
                <w:sz w:val="24"/>
              </w:rPr>
              <w:t>版本</w:t>
            </w:r>
          </w:p>
        </w:tc>
        <w:tc>
          <w:tcPr>
            <w:tcW w:w="393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99CC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楷体_GB2312;微软雅黑" w:hAnsi="楷体_GB2312;微软雅黑" w:eastAsia="楷体_GB2312;微软雅黑" w:cs="宋体;SimSun"/>
                <w:b/>
                <w:bCs/>
                <w:kern w:val="0"/>
                <w:sz w:val="24"/>
              </w:rPr>
            </w:pPr>
            <w:r>
              <w:rPr>
                <w:rFonts w:ascii="楷体_GB2312;微软雅黑" w:hAnsi="楷体_GB2312;微软雅黑" w:cs="宋体;SimSun" w:hint="eastAsia" w:eastAsia="楷体_GB2312;微软雅黑"/>
                <w:b/>
                <w:bCs/>
                <w:kern w:val="0"/>
                <w:sz w:val="24"/>
              </w:rPr>
              <w:t>修改条款及内容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99CC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楷体_GB2312;微软雅黑" w:hAnsi="楷体_GB2312;微软雅黑" w:eastAsia="楷体_GB2312;微软雅黑" w:cs="宋体;SimSun"/>
                <w:b/>
                <w:bCs/>
                <w:kern w:val="0"/>
                <w:sz w:val="24"/>
              </w:rPr>
            </w:pPr>
            <w:r>
              <w:rPr>
                <w:rFonts w:ascii="楷体_GB2312;微软雅黑" w:hAnsi="楷体_GB2312;微软雅黑" w:cs="宋体;SimSun" w:hint="eastAsia" w:eastAsia="楷体_GB2312;微软雅黑"/>
                <w:b/>
                <w:bCs/>
                <w:kern w:val="0"/>
                <w:sz w:val="24"/>
              </w:rPr>
              <w:t>修改日期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93"/>
          </w:tcPr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3935"/>
          </w:tcPr>
          <w:p>
            <w:r>
              <w:rPr>
                <w:sz w:val="18"/>
                <w:szCs w:val="18"/>
              </w:rPr>
              <w:t xml:space="preserve">创建。按课程交付物 01.需求定义 编写 RentAgent 需求定义说明书：行业背景与问题定义、项目目标与范围（含范围外清单）、用户角色与业务场景、系统上下文与总体方案、可行性分析、风险、开发计划与分工，作为需求分析阶段的输入基线</w:t>
            </w:r>
          </w:p>
        </w:tc>
        <w:tc>
          <w:tcPr>
            <w:tcW w:type="dxa" w:w="1560"/>
          </w:tcPr>
          <w:p>
            <w:r>
              <w:rPr>
                <w:sz w:val="18"/>
                <w:szCs w:val="18"/>
              </w:rPr>
              <w:t xml:space="preserve">2026-09-16</w:t>
            </w:r>
          </w:p>
        </w:tc>
      </w:tr>
      <w:tr>
        <w:tc>
          <w:tcPr>
            <w:tcW w:type="dxa" w:w="1281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93"/>
          </w:tcPr>
          <w:p>
            <w:r>
              <w:rPr>
                <w:sz w:val="18"/>
                <w:szCs w:val="18"/>
              </w:rPr>
              <w:t xml:space="preserve">V1.1</w:t>
            </w:r>
          </w:p>
        </w:tc>
        <w:tc>
          <w:tcPr>
            <w:tcW w:type="dxa" w:w="3935"/>
          </w:tcPr>
          <w:p>
            <w:r>
              <w:rPr>
                <w:sz w:val="18"/>
                <w:szCs w:val="18"/>
              </w:rPr>
              <w:t xml:space="preserve">① 按《项目最终确认书》v1.4 同步客户端交付形态：第五章总体方案补充“浏览器 Web 版 + Electron 桌面端”两种分发形态（共用同一份构建产物，桌面端不新增功能），第六章操作可行性相应改写“无需安装客户端”的表述；② 按《项目最终确认书》v1.5 明确大模型口径为模型无关：第五章技术方案的“AI 接入”行与系统上下文图（图 5-1）、总体架构图（图 5-2）改为“任意兼容模型 API”表述；其余内容不变</w:t>
            </w:r>
          </w:p>
        </w:tc>
        <w:tc>
          <w:tcPr>
            <w:tcW w:type="dxa" w:w="1560"/>
          </w:tcPr>
          <w:p>
            <w:r>
              <w:rPr>
                <w:sz w:val="18"/>
                <w:szCs w:val="18"/>
              </w:rPr>
              <w:t xml:space="preserve">2026-09-17</w:t>
            </w:r>
          </w:p>
        </w:tc>
      </w:tr>
    </w:tbl>
    <w:p>
      <w:pPr>
        <w:pStyle w:val="Normal"/>
        <w:snapToGrid w:val="false"/>
        <w:jc w:val="center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</w:r>
    </w:p>
    <w:p>
      <w:pPr>
        <w:pStyle w:val="Normal"/>
        <w:jc w:val="center"/>
        <w:rPr>
          <w:rFonts w:hint="eastAsia"/>
          <w:b/>
          <w:sz w:val="30"/>
          <w:szCs w:val="30"/>
        </w:rPr>
      </w:pPr>
      <w:r>
        <w:rPr/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/>
            <w:fldChar w:fldCharType="begin"/>
          </w:r>
          <w:r>
            <w:rPr/>
            <w:instrText xml:space="preserve"> TOC \o "1-3" \h \z \u </w:instrText>
          </w:r>
          <w:r>
            <w:rPr/>
            <w:fldChar w:fldCharType="separate"/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文档概述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5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1.1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文档目的和范围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5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1.2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术语与缩略语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5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1.3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参考文档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7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项目背景与问题定义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8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2.1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行业背景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8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2.2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现有平台的主要不足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8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2.3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问题定义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9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2.4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AI 智能体技术的适用性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10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项目目标与范围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11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总体目标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11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可度量目标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11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系统范围（本期实现）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12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3.4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范围外（本期不做）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12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3.5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假设与约束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13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4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用户角色与业务场景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14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4.1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用户角色定义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14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4.2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核心业务流程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15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4.3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角色与用例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16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4.4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典型业务场景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16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4.5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关键业务规则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18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系统上下文与总体方案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19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系统上下文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19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系统总体架构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19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技术方案选型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21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5.4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AI 智能体能力定义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22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6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可行性分析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23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6.1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技术可行性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23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6.2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经济可行性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23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6.3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操作可行性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24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6.4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法律与合规可行性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24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6.5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可行性结论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24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7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风险识别与应对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25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8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开发计划与团队分工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26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8.1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里程碑计划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26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8.2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团队分工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26</w:t>
          </w:r>
        </w:p>
        <w:p>
          <w:pPr>
            <w:pStyle w:val="TOC2"/>
            <w:tabs>
              <w:tab w:val="clear" w:pos="420"/>
              <w:tab w:val="left" w:pos="105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8.3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需求变更管理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27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>
              <w:lang w:val="zh-CN" w:eastAsia="zh-CN"/>
            </w:rPr>
            <w:t xml:space="preserve">9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确认与签署</w:t>
          </w:r>
          <w:r>
            <w:rPr>
              <w:lang w:val="zh-CN" w:eastAsia="zh-CN"/>
            </w:rPr>
            <w:tab/>
          </w:r>
          <w:r>
            <w:rPr>
              <w:lang w:val="zh-CN" w:eastAsia="zh-CN"/>
            </w:rPr>
            <w:t xml:space="preserve">28</w:t>
          </w:r>
        </w:p>
        <w:p>
          <w:pPr>
            <w:pStyle w:val="TOC1"/>
            <w:tabs>
              <w:tab w:val="left" w:pos="420" w:leader="none"/>
              <w:tab w:val="right" w:pos="9627" w:leader="dot"/>
            </w:tabs>
            <w:rPr>
              <w:szCs w:val="24"/>
              <w:lang w:val="zh-CN" w:eastAsia="zh-CN"/>
            </w:rPr>
          </w:pPr>
          <w:r>
            <w:rPr/>
            <w:fldChar w:fldCharType="end"/>
          </w:r>
        </w:p>
      </w:sdtContent>
    </w:sdt>
    <w:p>
      <w:pPr>
        <w:pStyle w:val="Normal"/>
        <w:rPr>
          <w:rFonts w:hint="eastAsia"/>
        </w:rPr>
      </w:pPr>
      <w:r>
        <w:rPr>
          <w:rFonts w:hint="eastAsia"/>
          <w:szCs w:val="24"/>
          <w:lang w:val="zh-CN" w:eastAsia="zh-CN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Heading1"/>
        <w:pageBreakBefore/>
        <w:numPr>
          <w:ilvl w:val="0"/>
          <w:numId w:val="0"/>
        </w:numPr>
      </w:pPr>
      <w:r>
        <w:rPr/>
        <w:t xml:space="preserve">1 文档概述</w:t>
      </w:r>
    </w:p>
    <w:p>
      <w:pPr>
        <w:pStyle w:val="Heading2"/>
        <w:numPr>
          <w:ilvl w:val="0"/>
          <w:numId w:val="0"/>
        </w:numPr>
      </w:pPr>
      <w:r>
        <w:rPr/>
        <w:t xml:space="preserve">1.1 文档目的和范围</w:t>
      </w:r>
    </w:p>
    <w:p>
      <w:pPr>
        <w:pStyle w:val="Style11"/>
      </w:pPr>
      <w:r>
        <w:rPr/>
        <w:t xml:space="preserve">本文档是 RentAgent（基于 AI 智能体的房屋租赁系统）的需求定义说明书，处于项目生命周期的“需求定义”阶段，回答的是“要做一个什么样的系统”这一层次的问题：项目要解决什么问题、系统服务哪些角色、本期做到什么范围、技术上与经济上是否可行、准备按什么计划推进。</w:t>
      </w:r>
    </w:p>
    <w:p>
      <w:pPr>
        <w:pStyle w:val="Style11"/>
      </w:pPr>
      <w:r>
        <w:rPr/>
        <w:t xml:space="preserve">本文档给出的是项目级、边界级与方案级的定义，不展开到逐条功能需求与验收标准——那些内容由后续的《需求分析矩阵》（功能需求 FR-01~FR-25、非功能需求 NFR-01~NFR-10）与《需求跟踪矩阵》承载。本文档第三章给出的范围清单已按模块标注对应的 FR 编号，以便需求定义与需求分析之间保持双向可追溯：凡在本期范围内的能力，在需求分析阶段必须有对应需求条目；凡本文档明确列在范围外的内容，本期不得实现。</w:t>
      </w:r>
    </w:p>
    <w:p>
      <w:pPr>
        <w:pStyle w:val="Style11"/>
      </w:pPr>
      <w:r>
        <w:rPr/>
        <w:t xml:space="preserve">本文档的阅读对象为：项目负责人与项目组全体成员、课程指导教师与评审组，以及需要在后续设计、开发、测试阶段了解系统背景与边界的技术人员。</w:t>
      </w:r>
    </w:p>
    <w:p>
      <w:pPr>
        <w:pStyle w:val="Heading2"/>
        <w:numPr>
          <w:ilvl w:val="0"/>
          <w:numId w:val="0"/>
        </w:numPr>
      </w:pPr>
      <w:r>
        <w:rPr/>
        <w:t xml:space="preserve">1.2 术语与缩略语</w:t>
      </w:r>
    </w:p>
    <w:p>
      <w:pPr>
        <w:pStyle w:val="Style11"/>
      </w:pPr>
      <w:r>
        <w:rPr/>
        <w:t xml:space="preserve">本文档使用的术语与缩略语如下表所示。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表1-1 术语与缩略语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68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204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术语/缩略语</w:t>
            </w:r>
          </w:p>
        </w:tc>
        <w:tc>
          <w:tcPr>
            <w:tcW w:type="dxa" w:w="691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智能体（Agent）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在 LLM 之上叠加角色设定、记忆与工具集，能够自主完成“理解 → 规划 → 调用工具 → 反思 → 交付”多步闭环的服务角色；本项目三端均可调用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LLM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Large Language Model，大语言模型，本项目通过 API 方式调用，不自训练模型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提示词（Prompt）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提交给大模型的指令与上下文，包含角色设定、任务描述与可调用工具清单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Function Calling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工具调用：大模型按预定义函数规范发起结构化调用，由后端执行真实业务操作（查房源、生成合同等）后回传结果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RAG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Retrieval-Augmented Generation，检索增强生成：先检索平台知识库片段，再交由大模型生成有据可依的回答，用于智能客服与合同解读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知识库（KB）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平台规则、租赁政策 FAQ 等结构化文档集合，是智能客服回答的来源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SSE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Server-Sent Events，服务端推送事件，用于 AI 对话的流式输出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LLM 网关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对大模型 API 的统一封装层，屏蔽协议差异、支持超时控制与备用模型一键切换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9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B/S 架构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浏览器 / 服务器架构，本项目租客端、房东端、管理端均以浏览器为运行载体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10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JWT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JSON Web Token，无状态登录凭证，用于三端登录态维护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11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RBAC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基于角色的访问控制：租客（1）/ 房东（2）/ 管理员（3）三角色隔离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12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实名认证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房东发布房源前的身份核验前置条件，证件号等敏感信息加密存储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13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虚假房源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描述、图片或价格与实际不符，或以引流为目的发布的房源，由 AI 辅助识别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14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押付方式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租金支付周期与押金月数的组合约定，如“押一付三”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15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一单一评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一份租赁合同仅允许提交一次评价的业务约束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16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MVP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Minimum Viable Product，最小可行产品，本项目取 P0 需求集合构成业务最小闭环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17</w:t>
            </w:r>
          </w:p>
        </w:tc>
        <w:tc>
          <w:tcPr>
            <w:tcW w:type="dxa" w:w="204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MoSCoW</w:t>
            </w:r>
          </w:p>
        </w:tc>
        <w:tc>
          <w:tcPr>
            <w:tcW w:type="dxa" w:w="691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需求优先级划分方法：P0 必须做 / P1 应该做 / P2 可以做 / P3 本期不做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1.3 参考文档</w:t>
      </w:r>
    </w:p>
    <w:p>
      <w:pPr>
        <w:pStyle w:val="Style11"/>
      </w:pPr>
      <w:r>
        <w:rPr/>
        <w:t xml:space="preserve">本文档编写所依据或引用的文档如下表所示。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表1-2 参考文档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6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391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文档名</w:t>
            </w:r>
          </w:p>
        </w:tc>
        <w:tc>
          <w:tcPr>
            <w:tcW w:type="dxa" w:w="170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作者</w:t>
            </w:r>
          </w:p>
        </w:tc>
        <w:tc>
          <w:tcPr>
            <w:tcW w:type="dxa" w:w="141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时间</w:t>
            </w:r>
          </w:p>
        </w:tc>
        <w:tc>
          <w:tcPr>
            <w:tcW w:type="dxa" w:w="197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39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RentAgent 项目技术背景介绍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</w:t>
            </w:r>
          </w:p>
        </w:tc>
        <w:tc>
          <w:tcPr>
            <w:tcW w:type="dxa" w:w="141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2026-09-03</w:t>
            </w:r>
          </w:p>
        </w:tc>
        <w:tc>
          <w:tcPr>
            <w:tcW w:type="dxa" w:w="1979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39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RentAgent 项目最终确认书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</w:t>
            </w:r>
          </w:p>
        </w:tc>
        <w:tc>
          <w:tcPr>
            <w:tcW w:type="dxa" w:w="141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2026-09-03</w:t>
            </w:r>
          </w:p>
        </w:tc>
        <w:tc>
          <w:tcPr>
            <w:tcW w:type="dxa" w:w="1979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39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RentAgent 项目企划书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</w:t>
            </w:r>
          </w:p>
        </w:tc>
        <w:tc>
          <w:tcPr>
            <w:tcW w:type="dxa" w:w="141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2026-09-04</w:t>
            </w:r>
          </w:p>
        </w:tc>
        <w:tc>
          <w:tcPr>
            <w:tcW w:type="dxa" w:w="1979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39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RentAgent 需求分析矩阵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</w:t>
            </w:r>
          </w:p>
        </w:tc>
        <w:tc>
          <w:tcPr>
            <w:tcW w:type="dxa" w:w="141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2026-09-03</w:t>
            </w:r>
          </w:p>
        </w:tc>
        <w:tc>
          <w:tcPr>
            <w:tcW w:type="dxa" w:w="1979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39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RentAgent 需求跟踪矩阵（RTM）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</w:t>
            </w:r>
          </w:p>
        </w:tc>
        <w:tc>
          <w:tcPr>
            <w:tcW w:type="dxa" w:w="141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2026-09-04</w:t>
            </w:r>
          </w:p>
        </w:tc>
        <w:tc>
          <w:tcPr>
            <w:tcW w:type="dxa" w:w="1979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39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RentAgent 原型工具使用方法（含页面规划清单）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</w:t>
            </w:r>
          </w:p>
        </w:tc>
        <w:tc>
          <w:tcPr>
            <w:tcW w:type="dxa" w:w="141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2026-09-03</w:t>
            </w:r>
          </w:p>
        </w:tc>
        <w:tc>
          <w:tcPr>
            <w:tcW w:type="dxa" w:w="1979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39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RentAgent 需求分析与原型设计评审报告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项目组、评审组</w:t>
            </w:r>
          </w:p>
        </w:tc>
        <w:tc>
          <w:tcPr>
            <w:tcW w:type="dxa" w:w="141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2026-09-04</w:t>
            </w:r>
          </w:p>
        </w:tc>
        <w:tc>
          <w:tcPr>
            <w:tcW w:type="dxa" w:w="1979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type="dxa" w:w="39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计算机软件文档编制规范（GB/T 8567-2006）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国家标准</w:t>
            </w:r>
          </w:p>
        </w:tc>
        <w:tc>
          <w:tcPr>
            <w:tcW w:type="dxa" w:w="141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2006</w:t>
            </w:r>
          </w:p>
        </w:tc>
        <w:tc>
          <w:tcPr>
            <w:tcW w:type="dxa" w:w="1979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—</w:t>
            </w:r>
          </w:p>
        </w:tc>
      </w:tr>
    </w:tbl>
    <w:p>
      <w:pPr>
        <w:pStyle w:val="Heading1"/>
        <w:pageBreakBefore/>
        <w:numPr>
          <w:ilvl w:val="0"/>
          <w:numId w:val="0"/>
        </w:numPr>
      </w:pPr>
      <w:r>
        <w:rPr/>
        <w:t xml:space="preserve">2 项目背景与问题定义</w:t>
      </w:r>
    </w:p>
    <w:p>
      <w:pPr>
        <w:pStyle w:val="Heading2"/>
        <w:numPr>
          <w:ilvl w:val="0"/>
          <w:numId w:val="0"/>
        </w:numPr>
      </w:pPr>
      <w:r>
        <w:rPr/>
        <w:t xml:space="preserve">2.1 行业背景</w:t>
      </w:r>
    </w:p>
    <w:p>
      <w:pPr>
        <w:pStyle w:val="Style11"/>
      </w:pPr>
      <w:r>
        <w:rPr/>
        <w:t xml:space="preserve">住房租赁是民生领域的高频刚需场景。根据住建部及主流租房平台公开数据，我国城镇租房人口规模已超过 2 亿人；随着人口持续向中心城市流动、首次购房年龄推迟等趋势，租赁市场规模仍在扩大。与传统的“中介门店”模式相比，线上化租房平台已成为租客与房东达成交易的主流渠道。</w:t>
      </w:r>
    </w:p>
    <w:p>
      <w:pPr>
        <w:pStyle w:val="Style11"/>
      </w:pPr>
      <w:r>
        <w:rPr/>
        <w:t xml:space="preserve">然而，当前线上平台普遍停留在“信息陈列”层面：把房源信息发布出来、提供关键词与筛选条件，剩下的理解需求、判断真伪、解释条款、辅助定价等工作全部推给用户。用户面对的是大量结构化字段与图片，而真实需求往往是模糊、复合、带场景约束的（例如“通勤 30 分钟内、预算 2500、采光好、能养猫”），二者之间存在明显鸿沟。</w:t>
      </w:r>
    </w:p>
    <w:p>
      <w:pPr>
        <w:pStyle w:val="Heading2"/>
        <w:numPr>
          <w:ilvl w:val="0"/>
          <w:numId w:val="0"/>
        </w:numPr>
      </w:pPr>
      <w:r>
        <w:rPr/>
        <w:t xml:space="preserve">2.2 现有平台的主要不足</w:t>
      </w:r>
    </w:p>
    <w:p>
      <w:pPr>
        <w:pStyle w:val="Style11"/>
      </w:pPr>
      <w:r>
        <w:rPr/>
        <w:t xml:space="preserve">对现有主流平台（贝壳、自如、58 同城等）的功能走查与对身边有租房经历同学的访谈显示，平台的不足集中在六个方面，如下表所示。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表2-1 现有租赁平台的主要不足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6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47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痛点</w:t>
            </w:r>
          </w:p>
        </w:tc>
        <w:tc>
          <w:tcPr>
            <w:tcW w:type="dxa" w:w="4535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具体表现</w:t>
            </w:r>
          </w:p>
        </w:tc>
        <w:tc>
          <w:tcPr>
            <w:tcW w:type="dxa" w:w="299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平台侧成因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信息不对称</w:t>
            </w:r>
          </w:p>
        </w:tc>
        <w:tc>
          <w:tcPr>
            <w:tcW w:type="dxa" w:w="45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房源描述与实际不符、图片过度美化，租客只能线下看房后才发现问题</w:t>
            </w:r>
          </w:p>
        </w:tc>
        <w:tc>
          <w:tcPr>
            <w:tcW w:type="dxa" w:w="299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平台以“发布即展示”为主，人工抽检比例低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虚假房源泛滥</w:t>
            </w:r>
          </w:p>
        </w:tc>
        <w:tc>
          <w:tcPr>
            <w:tcW w:type="dxa" w:w="45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低价假房源用于引流，真实房源已租出但信息不下架</w:t>
            </w:r>
          </w:p>
        </w:tc>
        <w:tc>
          <w:tcPr>
            <w:tcW w:type="dxa" w:w="299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审核滞后于发布，缺少自动化风险识别手段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匹配效率低</w:t>
            </w:r>
          </w:p>
        </w:tc>
        <w:tc>
          <w:tcPr>
            <w:tcW w:type="dxa" w:w="45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关键词与固定筛选条件难以表达模糊、复合需求，租客需自己多轮试错</w:t>
            </w:r>
          </w:p>
        </w:tc>
        <w:tc>
          <w:tcPr>
            <w:tcW w:type="dxa" w:w="299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检索以字段匹配为主，不具备自然语言理解能力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沟通成本高</w:t>
            </w:r>
          </w:p>
        </w:tc>
        <w:tc>
          <w:tcPr>
            <w:tcW w:type="dxa" w:w="45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押金、退租、维修、违约等高频问题需反复与中介/房东往返确认</w:t>
            </w:r>
          </w:p>
        </w:tc>
        <w:tc>
          <w:tcPr>
            <w:tcW w:type="dxa" w:w="299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咨询依赖人工，重复问题占比高，非工作时间无人响应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合同理解门槛高</w:t>
            </w:r>
          </w:p>
        </w:tc>
        <w:tc>
          <w:tcPr>
            <w:tcW w:type="dxa" w:w="45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合同条款专业性强，租客难以识别高额违约金、单方涨租等风险条款</w:t>
            </w:r>
          </w:p>
        </w:tc>
        <w:tc>
          <w:tcPr>
            <w:tcW w:type="dxa" w:w="299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平台只提供合同模板下载，不做条款解释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决策支持缺失</w:t>
            </w:r>
          </w:p>
        </w:tc>
        <w:tc>
          <w:tcPr>
            <w:tcW w:type="dxa" w:w="45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房东定价缺少同区域同户型数据参考，定价随意导致空置期偏长</w:t>
            </w:r>
          </w:p>
        </w:tc>
        <w:tc>
          <w:tcPr>
            <w:tcW w:type="dxa" w:w="299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平台向房东提供的数据服务有限且以付费报告为主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2.3 问题定义</w:t>
      </w:r>
    </w:p>
    <w:p>
      <w:pPr>
        <w:pStyle w:val="Style11"/>
      </w:pPr>
      <w:r>
        <w:rPr/>
        <w:t xml:space="preserve">上述六个痛点的共性在于：平台只完成了“信息陈列”，没有完成“理解需求、辅助决策”。结合团队技术条件与课程周期，本项目把问题定义收敛为下面这一句话。</w:t>
      </w:r>
    </w:p>
    <w:p>
      <w:pPr>
        <w:pStyle w:val="Style11"/>
      </w:pPr>
      <w:r>
        <w:rPr/>
        <w:t xml:space="preserve">【问题定义】构建一个面向租客、房东与平台管理员的在线房屋租赁系统，在完整的租赁业务闭环（发布 → 审核 → 找房 → 预约 → 签约 → 履约 → 评价）之上，引入大语言模型智能体，使其承担自然语言找房、政策问答、合同解读、定价分析、房源风险识别等“理解与决策辅助”工作，把平台从“信息陈列”升级为“对话即服务”。</w:t>
      </w:r>
    </w:p>
    <w:p>
      <w:pPr>
        <w:pStyle w:val="Style11"/>
      </w:pPr>
      <w:r>
        <w:rPr/>
        <w:t xml:space="preserve">问题定义同时划定了系统的能力边界：本项目的智能体是“带工具的业务角色”，不是套壳聊天窗口——它必须能够真实调用房源检索、预约、合同生成等业务工具，并把结果以房源卡片、合同条款、定价区间等形式交付给用户。图 2-1 给出了六个业务痛点与系统应对方式之间的对应关系。</w:t>
      </w:r>
    </w:p>
    <w:p>
      <w:pPr>
        <w:pStyle w:val="Normal"/>
        <w:keepNext/>
        <w:spacing w:before="120" w:after="0"/>
        <w:jc w:val="center"/>
      </w:pPr>
      <w:r>
        <w:drawing>
          <wp:inline xmlns:a="http://schemas.openxmlformats.org/drawingml/2006/main">
            <wp:extent cx="5832000" cy="3838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_p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3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</w:pPr>
      <w:r>
        <w:rPr>
          <w:sz w:val="21"/>
          <w:szCs w:val="21"/>
        </w:rPr>
        <w:t xml:space="preserve">图2-1  业务痛点与系统应对映射图</w:t>
      </w:r>
    </w:p>
    <w:p>
      <w:pPr>
        <w:pStyle w:val="Heading2"/>
        <w:numPr>
          <w:ilvl w:val="0"/>
          <w:numId w:val="0"/>
        </w:numPr>
      </w:pPr>
      <w:r>
        <w:rPr/>
        <w:t xml:space="preserve">2.4 AI 智能体技术的适用性</w:t>
      </w:r>
    </w:p>
    <w:p>
      <w:pPr>
        <w:pStyle w:val="Style11"/>
      </w:pPr>
      <w:r>
        <w:rPr/>
        <w:t xml:space="preserve">问题定义所要求的能力，正好落在当前大模型技术的成熟区间内，技术上的可行性来自四个已工程化的能力点：其一，大语言模型具备自然语言理解与推理能力，可把“通勤 30 分钟、预算 2500”这类模糊表达解析为结构化检索条件；其二，检索增强生成（RAG）把平台内的房源数据、合同模板、政策 FAQ 向量化后按需检索并注入上下文，使回答有据可依，显著抑制幻觉；其三，工具调用（Function Calling）让模型可以发起结构化的业务调用，使“能说”进化为“能做”；其四，在模型之上叠加角色设定、多轮记忆与工具集即可构成智能体，围绕用户目标自主完成多步闭环。</w:t>
      </w:r>
    </w:p>
    <w:p>
      <w:pPr>
        <w:pStyle w:val="Style11"/>
      </w:pPr>
      <w:r>
        <w:rPr/>
        <w:t xml:space="preserve">从产业成熟度看，2024 年以来主流大模型厂商均已稳定支持工具调用与长上下文，LangChain 等框架与向量检索组件广泛商用，按量计费的 API 使中小规模应用的接入成本趋近于零。因此，在本项目中引入 AI 智能体，技术链路完整、风险可控，已具备工程落地条件，不需要自训练或微调模型。</w:t>
      </w:r>
    </w:p>
    <w:p>
      <w:pPr>
        <w:pStyle w:val="Heading1"/>
        <w:pageBreakBefore/>
        <w:numPr>
          <w:ilvl w:val="0"/>
          <w:numId w:val="0"/>
        </w:numPr>
      </w:pPr>
      <w:r>
        <w:rPr/>
        <w:t xml:space="preserve">3 项目目标与范围</w:t>
      </w:r>
    </w:p>
    <w:p>
      <w:pPr>
        <w:pStyle w:val="Heading2"/>
        <w:numPr>
          <w:ilvl w:val="0"/>
          <w:numId w:val="0"/>
        </w:numPr>
      </w:pPr>
      <w:r>
        <w:rPr/>
        <w:t xml:space="preserve">3.1 总体目标</w:t>
      </w:r>
    </w:p>
    <w:p>
      <w:pPr>
        <w:pStyle w:val="Style11"/>
      </w:pPr>
      <w:r>
        <w:rPr/>
        <w:t xml:space="preserve">总体目标：构建一个功能完整的在线房屋租赁平台，实现租客、房东、平台管理员三端核心业务闭环；并在此基础上叠加 AI 智能体能力，使租客能够用自然语言完成找房、咨询与签约辅助，使房东获得智能定价与房源管理支持，使管理员获得 AI 辅助的审核能力。</w:t>
      </w:r>
    </w:p>
    <w:p>
      <w:pPr>
        <w:pStyle w:val="Style11"/>
      </w:pPr>
      <w:r>
        <w:rPr/>
        <w:t xml:space="preserve">目标按“先闭环、后智能”的顺序拆解：业务闭环是系统的可用性底线，AI 能力是项目的差异化特色；两者共用同一套业务数据与权限体系，AI 能力不单独建设数据通路。</w:t>
      </w:r>
    </w:p>
    <w:p>
      <w:pPr>
        <w:pStyle w:val="Heading2"/>
        <w:numPr>
          <w:ilvl w:val="0"/>
          <w:numId w:val="0"/>
        </w:numPr>
      </w:pPr>
      <w:r>
        <w:rPr/>
        <w:t xml:space="preserve">3.2 可度量目标</w:t>
      </w:r>
    </w:p>
    <w:p>
      <w:pPr>
        <w:pStyle w:val="Style11"/>
      </w:pPr>
      <w:r>
        <w:rPr/>
        <w:t xml:space="preserve">项目的可度量目标如下表所示，验收时逐条核对。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表3-1 可度量目标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73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编号</w:t>
            </w:r>
          </w:p>
        </w:tc>
        <w:tc>
          <w:tcPr>
            <w:tcW w:type="dxa" w:w="187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目标</w:t>
            </w:r>
          </w:p>
        </w:tc>
        <w:tc>
          <w:tcPr>
            <w:tcW w:type="dxa" w:w="396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度量内容</w:t>
            </w:r>
          </w:p>
        </w:tc>
        <w:tc>
          <w:tcPr>
            <w:tcW w:type="dxa" w:w="3056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口径说明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G1</w:t>
            </w:r>
          </w:p>
        </w:tc>
        <w:tc>
          <w:tcPr>
            <w:tcW w:type="dxa" w:w="187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三端业务闭环走通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租客—房东—管理员三端功能完整，核心闭环（发布房源 → 找房 → 预约看房 → 在线签约 → 评价）可完整演示</w:t>
            </w:r>
          </w:p>
        </w:tc>
        <w:tc>
          <w:tcPr>
            <w:tcW w:type="dxa" w:w="305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《需求分析矩阵》P0 需求全部通过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G2</w:t>
            </w:r>
          </w:p>
        </w:tc>
        <w:tc>
          <w:tcPr>
            <w:tcW w:type="dxa" w:w="187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智能体四项核心能力上线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找房助手、智能客服、合同智能解读、智能定价建议四项能力可用</w:t>
            </w:r>
          </w:p>
        </w:tc>
        <w:tc>
          <w:tcPr>
            <w:tcW w:type="dxa" w:w="305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其中合同解读、定价建议按 P1“演示前必须完成”口径交付（口径见确认书 2.2 注）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G3</w:t>
            </w:r>
          </w:p>
        </w:tc>
        <w:tc>
          <w:tcPr>
            <w:tcW w:type="dxa" w:w="187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性能与体验达标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常规页面接口响应 ≤ 2s；AI 对话首字响应 ≤ 3s 且采用流式输出</w:t>
            </w:r>
          </w:p>
        </w:tc>
        <w:tc>
          <w:tcPr>
            <w:tcW w:type="dxa" w:w="305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对应 NFR-01、NFR-02；AI 首字实测值与达标路径在需求分析阶段记录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G4</w:t>
            </w:r>
          </w:p>
        </w:tc>
        <w:tc>
          <w:tcPr>
            <w:tcW w:type="dxa" w:w="187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文档与原型齐备</w:t>
            </w:r>
          </w:p>
        </w:tc>
        <w:tc>
          <w:tcPr>
            <w:tcW w:type="dxa" w:w="396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完成需求定义、需求分析、概要设计、数据库设计、接口文档、测试报告与高保真原型</w:t>
            </w:r>
          </w:p>
        </w:tc>
        <w:tc>
          <w:tcPr>
            <w:tcW w:type="dxa" w:w="305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作为课程各阶段成果物提交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3.3 系统范围（本期实现）</w:t>
      </w:r>
    </w:p>
    <w:p>
      <w:pPr>
        <w:pStyle w:val="Style11"/>
      </w:pPr>
      <w:r>
        <w:rPr/>
        <w:t xml:space="preserve">本期系统范围按七个功能模块组织，共 25 项功能需求（P0 十项、P1 十二项、P2 三项）。下表给出各模块的范围界定与需求编号对应关系；需求的详细描述、验收标准与优先级见《需求分析矩阵》第四节。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表3-2 本期范围内功能清单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6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53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功能模块</w:t>
            </w:r>
          </w:p>
        </w:tc>
        <w:tc>
          <w:tcPr>
            <w:tcW w:type="dxa" w:w="583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范围界定</w:t>
            </w:r>
          </w:p>
        </w:tc>
        <w:tc>
          <w:tcPr>
            <w:tcW w:type="dxa" w:w="163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对应需求编号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用户与权限</w:t>
            </w:r>
          </w:p>
        </w:tc>
        <w:tc>
          <w:tcPr>
            <w:tcW w:type="dxa" w:w="583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注册登录、角色区分（租客/房东/管理员）、实名认证、个人信息与密码管理</w:t>
            </w:r>
          </w:p>
        </w:tc>
        <w:tc>
          <w:tcPr>
            <w:tcW w:type="dxa" w:w="163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FR-01~FR-04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房源管理</w:t>
            </w:r>
          </w:p>
        </w:tc>
        <w:tc>
          <w:tcPr>
            <w:tcW w:type="dxa" w:w="583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房东发布/编辑/上下架房源、图片上传、AI 信息识别填充、管理员审核（含驳回理由）</w:t>
            </w:r>
          </w:p>
        </w:tc>
        <w:tc>
          <w:tcPr>
            <w:tcW w:type="dxa" w:w="163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FR-05~FR-08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检索与推荐</w:t>
            </w:r>
          </w:p>
        </w:tc>
        <w:tc>
          <w:tcPr>
            <w:tcW w:type="dxa" w:w="583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关键词搜索与多条件组合筛选、地图找房、个性化推荐、房源收藏</w:t>
            </w:r>
          </w:p>
        </w:tc>
        <w:tc>
          <w:tcPr>
            <w:tcW w:type="dxa" w:w="163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FR-09~FR-11、FR-25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智能体服务</w:t>
            </w:r>
          </w:p>
        </w:tc>
        <w:tc>
          <w:tcPr>
            <w:tcW w:type="dxa" w:w="583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找房助手、智能客服（RAG 知识库问答）、合同智能解读、智能定价建议、虚假房源检测（AI 辅助审核）</w:t>
            </w:r>
          </w:p>
        </w:tc>
        <w:tc>
          <w:tcPr>
            <w:tcW w:type="dxa" w:w="163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FR-12~FR-16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交易与合同</w:t>
            </w:r>
          </w:p>
        </w:tc>
        <w:tc>
          <w:tcPr>
            <w:tcW w:type="dxa" w:w="583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预约看房、电子合同在线生成与签署、订单与租金计划管理、续租/退租申请</w:t>
            </w:r>
          </w:p>
        </w:tc>
        <w:tc>
          <w:tcPr>
            <w:tcW w:type="dxa" w:w="163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FR-17~FR-19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评价与消息</w:t>
            </w:r>
          </w:p>
        </w:tc>
        <w:tc>
          <w:tcPr>
            <w:tcW w:type="dxa" w:w="583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房源与房东评分评价、站内消息通知（预约/审核/签约/账单等关键事件）</w:t>
            </w:r>
          </w:p>
        </w:tc>
        <w:tc>
          <w:tcPr>
            <w:tcW w:type="dxa" w:w="163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FR-20、FR-21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type="dxa" w:w="153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后台管理</w:t>
            </w:r>
          </w:p>
        </w:tc>
        <w:tc>
          <w:tcPr>
            <w:tcW w:type="dxa" w:w="583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用户管理、房源审核工作台与举报处理、知识库维护、数据统计看板</w:t>
            </w:r>
          </w:p>
        </w:tc>
        <w:tc>
          <w:tcPr>
            <w:tcW w:type="dxa" w:w="163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FR-22~FR-24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3.4 范围外（本期不做）</w:t>
      </w:r>
    </w:p>
    <w:p>
      <w:pPr>
        <w:pStyle w:val="Style11"/>
      </w:pPr>
      <w:r>
        <w:rPr/>
        <w:t xml:space="preserve">为避免范围蔓延，下表内容明确列在本期范围之外，不在系统中实现。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表3-3 本期范围外清单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6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226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范围外内容</w:t>
            </w:r>
          </w:p>
        </w:tc>
        <w:tc>
          <w:tcPr>
            <w:tcW w:type="dxa" w:w="36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本期处理方式</w:t>
            </w:r>
          </w:p>
        </w:tc>
        <w:tc>
          <w:tcPr>
            <w:tcW w:type="dxa" w:w="311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排除理由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在线支付与资金托管</w:t>
            </w:r>
          </w:p>
        </w:tc>
        <w:tc>
          <w:tcPr>
            <w:tcW w:type="dxa" w:w="36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租金支付仅做记录与状态跟踪，不对接真实支付渠道</w:t>
            </w:r>
          </w:p>
        </w:tc>
        <w:tc>
          <w:tcPr>
            <w:tcW w:type="dxa" w:w="31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涉及金融合规与商户接入，课程周期内无法闭环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移动端 App / 小程序</w:t>
            </w:r>
          </w:p>
        </w:tc>
        <w:tc>
          <w:tcPr>
            <w:tcW w:type="dxa" w:w="36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以响应式 Web 覆盖移动浏览场景（NFR-06）</w:t>
            </w:r>
          </w:p>
        </w:tc>
        <w:tc>
          <w:tcPr>
            <w:tcW w:type="dxa" w:w="31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避免多端维护成本，答辩演示以浏览器为准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大模型自训练 / 微调</w:t>
            </w:r>
          </w:p>
        </w:tc>
        <w:tc>
          <w:tcPr>
            <w:tcW w:type="dxa" w:w="36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统一调用第三方大模型 API，通过提示词与工具规范提升效果</w:t>
            </w:r>
          </w:p>
        </w:tc>
        <w:tc>
          <w:tcPr>
            <w:tcW w:type="dxa" w:w="31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训练成本与数据条件不具备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电子签章的法律效力对接</w:t>
            </w:r>
          </w:p>
        </w:tc>
        <w:tc>
          <w:tcPr>
            <w:tcW w:type="dxa" w:w="36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合同签署做流程演示，不接入 CA 认证与司法存证</w:t>
            </w:r>
          </w:p>
        </w:tc>
        <w:tc>
          <w:tcPr>
            <w:tcW w:type="dxa" w:w="31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需要企业资质与付费服务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智能门锁、VR 看房等硬件与 3D 能力</w:t>
            </w:r>
          </w:p>
        </w:tc>
        <w:tc>
          <w:tcPr>
            <w:tcW w:type="dxa" w:w="36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不涉及</w:t>
            </w:r>
          </w:p>
        </w:tc>
        <w:tc>
          <w:tcPr>
            <w:tcW w:type="dxa" w:w="31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与课程技术目标无关，属于范围蔓延风险项（R4）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3.5 假设与约束</w:t>
      </w:r>
    </w:p>
    <w:p>
      <w:pPr>
        <w:pStyle w:val="Style11"/>
      </w:pPr>
      <w:r>
        <w:rPr/>
        <w:t xml:space="preserve">本文档成立所依赖的假设与项目必须遵守的约束如下表所示；假设不成立时需重新评估相应目标。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表3-4 假设与约束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79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类型</w:t>
            </w:r>
          </w:p>
        </w:tc>
        <w:tc>
          <w:tcPr>
            <w:tcW w:type="dxa" w:w="68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编号</w:t>
            </w:r>
          </w:p>
        </w:tc>
        <w:tc>
          <w:tcPr>
            <w:tcW w:type="dxa" w:w="5896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内容</w:t>
            </w:r>
          </w:p>
        </w:tc>
        <w:tc>
          <w:tcPr>
            <w:tcW w:type="dxa" w:w="226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假设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A1</w:t>
            </w:r>
          </w:p>
        </w:tc>
        <w:tc>
          <w:tcPr>
            <w:tcW w:type="dxa" w:w="58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项目周期内第三方大模型 API 可用，免费或低成本额度满足开发演示用量</w:t>
            </w:r>
          </w:p>
        </w:tc>
        <w:tc>
          <w:tcPr>
            <w:tcW w:type="dxa" w:w="226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影响 AI 能力可用性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假设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A2</w:t>
            </w:r>
          </w:p>
        </w:tc>
        <w:tc>
          <w:tcPr>
            <w:tcW w:type="dxa" w:w="58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团队成员在本学期内时间投入稳定，能够按里程碑推进</w:t>
            </w:r>
          </w:p>
        </w:tc>
        <w:tc>
          <w:tcPr>
            <w:tcW w:type="dxa" w:w="226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影响进度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假设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A3</w:t>
            </w:r>
          </w:p>
        </w:tc>
        <w:tc>
          <w:tcPr>
            <w:tcW w:type="dxa" w:w="58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演示环境可访问公网（或使用本地 Mock 通道替代短信）</w:t>
            </w:r>
          </w:p>
        </w:tc>
        <w:tc>
          <w:tcPr>
            <w:tcW w:type="dxa" w:w="226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影响注册验证码链路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约束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C1</w:t>
            </w:r>
          </w:p>
        </w:tc>
        <w:tc>
          <w:tcPr>
            <w:tcW w:type="dxa" w:w="58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须在一个学期内完成开发与答辩，服务器以单台云主机承载</w:t>
            </w:r>
          </w:p>
        </w:tc>
        <w:tc>
          <w:tcPr>
            <w:tcW w:type="dxa" w:w="226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决定选型偏向成熟框架与单机部署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约束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C2</w:t>
            </w:r>
          </w:p>
        </w:tc>
        <w:tc>
          <w:tcPr>
            <w:tcW w:type="dxa" w:w="58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团队技术栈以 Java / Web 为主，前端需在课程周期内完成交付</w:t>
            </w:r>
          </w:p>
        </w:tc>
        <w:tc>
          <w:tcPr>
            <w:tcW w:type="dxa" w:w="226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决定采用前后端分离与主流组件库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约束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C3</w:t>
            </w:r>
          </w:p>
        </w:tc>
        <w:tc>
          <w:tcPr>
            <w:tcW w:type="dxa" w:w="58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个人信息遵循最小必要原则；AI 生成内容需标识可追溯（NFR-04/05）</w:t>
            </w:r>
          </w:p>
        </w:tc>
        <w:tc>
          <w:tcPr>
            <w:tcW w:type="dxa" w:w="226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决定字段加密与对话留痕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约束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C4</w:t>
            </w:r>
          </w:p>
        </w:tc>
        <w:tc>
          <w:tcPr>
            <w:tcW w:type="dxa" w:w="589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不接入真实支付与电子签章，交易以状态流转与记录为主</w:t>
            </w:r>
          </w:p>
        </w:tc>
        <w:tc>
          <w:tcPr>
            <w:tcW w:type="dxa" w:w="226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决定交易模块实现深度</w:t>
            </w:r>
          </w:p>
        </w:tc>
      </w:tr>
    </w:tbl>
    <w:p>
      <w:pPr>
        <w:pStyle w:val="Heading1"/>
        <w:pageBreakBefore/>
        <w:numPr>
          <w:ilvl w:val="0"/>
          <w:numId w:val="0"/>
        </w:numPr>
      </w:pPr>
      <w:r>
        <w:rPr/>
        <w:t xml:space="preserve">4 用户角色与业务场景</w:t>
      </w:r>
    </w:p>
    <w:p>
      <w:pPr>
        <w:pStyle w:val="Heading2"/>
        <w:numPr>
          <w:ilvl w:val="0"/>
          <w:numId w:val="0"/>
        </w:numPr>
      </w:pPr>
      <w:r>
        <w:rPr/>
        <w:t xml:space="preserve">4.1 用户角色定义</w:t>
      </w:r>
    </w:p>
    <w:p>
      <w:pPr>
        <w:pStyle w:val="Style11"/>
      </w:pPr>
      <w:r>
        <w:rPr/>
        <w:t xml:space="preserve">系统共有四类使用者：三类自然人角色（租客、房东、平台管理员）与一个内置服务角色（AI 智能体）。自然人角色由 RBAC 权限模型隔离，智能体不独立面向用户入口，而是以工具调用的方式为三类角色提供服务。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表4-1 用户角色定义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56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13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角色</w:t>
            </w:r>
          </w:p>
        </w:tc>
        <w:tc>
          <w:tcPr>
            <w:tcW w:type="dxa" w:w="147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定位</w:t>
            </w:r>
          </w:p>
        </w:tc>
        <w:tc>
          <w:tcPr>
            <w:tcW w:type="dxa" w:w="36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核心诉求</w:t>
            </w:r>
          </w:p>
        </w:tc>
        <w:tc>
          <w:tcPr>
            <w:tcW w:type="dxa" w:w="282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权限与前置约定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游客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未注册的浏览者</w:t>
            </w:r>
          </w:p>
        </w:tc>
        <w:tc>
          <w:tcPr>
            <w:tcW w:type="dxa" w:w="36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浏览平台首页与房源列表，了解平台定位与房源规模</w:t>
            </w:r>
          </w:p>
        </w:tc>
        <w:tc>
          <w:tcPr>
            <w:tcW w:type="dxa" w:w="282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仅可访问公开页面，不可收藏、预约、签约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租客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平台的房源需求方与主要使用者</w:t>
            </w:r>
          </w:p>
        </w:tc>
        <w:tc>
          <w:tcPr>
            <w:tcW w:type="dxa" w:w="36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用自然语言让 AI 帮忙找房；筛选、地图浏览与收藏房源；预约看房；在线签约前请 AI 解读合同；查看账单、提交评价</w:t>
            </w:r>
          </w:p>
        </w:tc>
        <w:tc>
          <w:tcPr>
            <w:tcW w:type="dxa" w:w="282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需注册登录；签约前须登记姓名与联系方式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房东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房源的提供者与出租方</w:t>
            </w:r>
          </w:p>
        </w:tc>
        <w:tc>
          <w:tcPr>
            <w:tcW w:type="dxa" w:w="36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发布与管理房源；获取 AI 定价建议；处理看房预约；管理在租订单与续租/退租</w:t>
            </w:r>
          </w:p>
        </w:tc>
        <w:tc>
          <w:tcPr>
            <w:tcW w:type="dxa" w:w="282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发布房源前须完成实名认证（FR-03）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平台管理员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平台运营与内容治理者</w:t>
            </w:r>
          </w:p>
        </w:tc>
        <w:tc>
          <w:tcPr>
            <w:tcW w:type="dxa" w:w="36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审核房源（AI 风险分辅助）；管理用户与举报；维护知识库；查看运营数据看板</w:t>
            </w:r>
          </w:p>
        </w:tc>
        <w:tc>
          <w:tcPr>
            <w:tcW w:type="dxa" w:w="282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拥有最高权限，操作留痕（audit_log）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智能体</w:t>
            </w:r>
          </w:p>
        </w:tc>
        <w:tc>
          <w:tcPr>
            <w:tcW w:type="dxa" w:w="147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系统内置的智能服务角色（非自然人）</w:t>
            </w:r>
          </w:p>
        </w:tc>
        <w:tc>
          <w:tcPr>
            <w:tcW w:type="dxa" w:w="36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承担自然语言找房、政策问答、合同条款解读、定价分析、房源风险识别</w:t>
            </w:r>
          </w:p>
        </w:tc>
        <w:tc>
          <w:tcPr>
            <w:tcW w:type="dxa" w:w="282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所有输出标注“AI 生成，仅供参考”，涉及合同与资金问题强制提示转人工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4.2 核心业务流程</w:t>
      </w:r>
    </w:p>
    <w:p>
      <w:pPr>
        <w:pStyle w:val="Style11"/>
      </w:pPr>
      <w:r>
        <w:rPr/>
        <w:t xml:space="preserve">系统的主线业务流程如图 4-1 所示，它把第三章的范围清单串成两条相互衔接的链条：房源供给链（房东发布 → 管理员审核 → 房源上架）与需求交易链（找房 → 预约看房 → 签约 → 履约 → 评价）。两条链条在上架与检索之间交汇，图中同时标注了各环节对应的功能需求编号。</w:t>
      </w:r>
    </w:p>
    <w:p>
      <w:pPr>
        <w:pStyle w:val="Normal"/>
        <w:keepNext/>
        <w:spacing w:before="120" w:after="0"/>
        <w:jc w:val="center"/>
      </w:pPr>
      <w:r>
        <w:drawing>
          <wp:inline xmlns:a="http://schemas.openxmlformats.org/drawingml/2006/main">
            <wp:extent cx="4126909" cy="70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6909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</w:pPr>
      <w:r>
        <w:rPr>
          <w:sz w:val="21"/>
          <w:szCs w:val="21"/>
        </w:rPr>
        <w:t xml:space="preserve">图4-1  核心业务流程图</w:t>
      </w:r>
    </w:p>
    <w:p>
      <w:pPr>
        <w:pStyle w:val="Heading2"/>
        <w:numPr>
          <w:ilvl w:val="0"/>
          <w:numId w:val="0"/>
        </w:numPr>
      </w:pPr>
      <w:r>
        <w:rPr/>
        <w:t xml:space="preserve">4.3 角色与用例</w:t>
      </w:r>
    </w:p>
    <w:p>
      <w:pPr>
        <w:pStyle w:val="Style11"/>
      </w:pPr>
      <w:r>
        <w:rPr/>
        <w:t xml:space="preserve">图 4-2 按角色列出系统用例，用于确认每个角色“能做什么”以及每个用例落在哪个功能模块。图中 AI 智能体一列并非独立入口，而是以工具调用的方式为三类用户角色提供能力支撑。</w:t>
      </w:r>
    </w:p>
    <w:p>
      <w:pPr>
        <w:pStyle w:val="Normal"/>
        <w:keepNext/>
        <w:spacing w:before="120" w:after="0"/>
        <w:jc w:val="center"/>
      </w:pPr>
      <w:r>
        <w:drawing>
          <wp:inline xmlns:a="http://schemas.openxmlformats.org/drawingml/2006/main">
            <wp:extent cx="5580000" cy="3628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usec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</w:pPr>
      <w:r>
        <w:rPr>
          <w:sz w:val="21"/>
          <w:szCs w:val="21"/>
        </w:rPr>
        <w:t xml:space="preserve">图4-2  角色—用例对照图</w:t>
      </w:r>
    </w:p>
    <w:p>
      <w:pPr>
        <w:pStyle w:val="Heading2"/>
        <w:numPr>
          <w:ilvl w:val="0"/>
          <w:numId w:val="0"/>
        </w:numPr>
      </w:pPr>
      <w:r>
        <w:rPr/>
        <w:t xml:space="preserve">4.4 典型业务场景</w:t>
      </w:r>
    </w:p>
    <w:p>
      <w:pPr>
        <w:pStyle w:val="Style11"/>
      </w:pPr>
      <w:r>
        <w:rPr/>
        <w:t xml:space="preserve">下表给出需求定义阶段识别出的六个典型业务场景，用于校验系统范围是否覆盖真实使用路径。场景与角色、用例的对应关系见图 4-2，各场景对应的具体功能需求见《需求分析矩阵》。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表4-2 典型业务场景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56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编号</w:t>
            </w:r>
          </w:p>
        </w:tc>
        <w:tc>
          <w:tcPr>
            <w:tcW w:type="dxa" w:w="113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角色</w:t>
            </w:r>
          </w:p>
        </w:tc>
        <w:tc>
          <w:tcPr>
            <w:tcW w:type="dxa" w:w="158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场景</w:t>
            </w:r>
          </w:p>
        </w:tc>
        <w:tc>
          <w:tcPr>
            <w:tcW w:type="dxa" w:w="464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场景描述</w:t>
            </w:r>
          </w:p>
        </w:tc>
        <w:tc>
          <w:tcPr>
            <w:tcW w:type="dxa" w:w="1695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涉及需求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S1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租客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自然语言找房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租客输入“想在软件园附近租个一居室，预算 2500 左右，通勤 30 分钟内，最好能养猫”，智能体解析为预算、户型、区域、宠物政策等结构化条件并调用房源检索工具，返回房源卡片与推荐理由；租客追问“再便宜一点”“要近地铁”时支持增量调整</w:t>
            </w:r>
          </w:p>
        </w:tc>
        <w:tc>
          <w:tcPr>
            <w:tcW w:type="dxa" w:w="169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FR-12、FR-09、FR-11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S2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租客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政策与规则咨询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租客询问“押一付三退租时押金怎么退”“热水器坏了谁负责修”，智能客服检索平台规则与政策知识库后作答并附来源；未命中知识库时礼貌引导转人工</w:t>
            </w:r>
          </w:p>
        </w:tc>
        <w:tc>
          <w:tcPr>
            <w:tcW w:type="dxa" w:w="169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FR-13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S3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房东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发布房源并获取定价建议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房东上传实拍图并填写房源信息，AI 识别户型与装修风格辅助填充描述；发布前请求定价建议，系统基于同小区同户型在租与历史成交样本给出定价区间、依据与样本量；样本不足时明确告知</w:t>
            </w:r>
          </w:p>
        </w:tc>
        <w:tc>
          <w:tcPr>
            <w:tcW w:type="dxa" w:w="169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FR-05、FR-08、FR-15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S4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租客 / 房东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预约看房与在线签约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租客选择日期时段发起预约，房东确认或拒绝，双方收到站内通知；线下看房确认意向后，系统按模板生成电子合同并自动填充双方信息，租客可点击条款查看 AI 通俗化解读与风险提示，双方在线确认后合同生效</w:t>
            </w:r>
          </w:p>
        </w:tc>
        <w:tc>
          <w:tcPr>
            <w:tcW w:type="dxa" w:w="169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FR-17、FR-18、FR-14、FR-21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S5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管理员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房源审核与风险识别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管理员在审核工作台查看待审房源，AI 对房源文本、图片与历史数据做一致性分析并给出风险分与疑点列表，风险分超阈值的房源置顶；管理员保留最终裁决权，通过或驳回（附驳回理由）并通知房东</w:t>
            </w:r>
          </w:p>
        </w:tc>
        <w:tc>
          <w:tcPr>
            <w:tcW w:type="dxa" w:w="169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FR-07、FR-16、FR-23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S6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租客 / 管理员</w:t>
            </w:r>
          </w:p>
        </w:tc>
        <w:tc>
          <w:tcPr>
            <w:tcW w:type="dxa" w:w="158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履约评价与举报处理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合同完成后租客对房源与房东评分（1~5 星）并撰写文字评价，评价展示在房源详情页；发现违规内容时可举报，管理员处理举报并通知双方，处理过程留痕</w:t>
            </w:r>
          </w:p>
        </w:tc>
        <w:tc>
          <w:tcPr>
            <w:tcW w:type="dxa" w:w="169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FR-19、FR-20、FR-21、FR-23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4.5 关键业务规则</w:t>
      </w:r>
    </w:p>
    <w:p>
      <w:pPr>
        <w:pStyle w:val="Style11"/>
      </w:pPr>
      <w:r>
        <w:rPr/>
        <w:t xml:space="preserve">需求定义阶段同时确认了六条贯穿全系统的业务规则，它们不是界面细节，而是会影响数据模型与接口设计的硬性约定，在后续设计阶段必须落实：</w:t>
      </w:r>
    </w:p>
    <w:p>
      <w:pPr>
        <w:pStyle w:val="Style11"/>
      </w:pPr>
      <w:r>
        <w:rPr/>
        <w:t xml:space="preserve">（1）审核前置：房源只有处于“已通过审核”状态才对租客可见，未审核与驳回房源不出现在检索结果中；</w:t>
      </w:r>
    </w:p>
    <w:p>
      <w:pPr>
        <w:pStyle w:val="Style11"/>
      </w:pPr>
      <w:r>
        <w:rPr/>
        <w:t xml:space="preserve">（2）实名前置：房东发布房源前必须完成实名认证，认证信息（姓名、证件号）加密存储并仅用于核验；</w:t>
      </w:r>
    </w:p>
    <w:p>
      <w:pPr>
        <w:pStyle w:val="Style11"/>
      </w:pPr>
      <w:r>
        <w:rPr/>
        <w:t xml:space="preserve">（3）状态机约束：预约、房源、合同、账单等业务对象的状态流转受限（如预约：待确认 → 已确认/已拒绝 → 已完成），状态更新必须携带前态条件，避免并发下的非法迁移；</w:t>
      </w:r>
    </w:p>
    <w:p>
      <w:pPr>
        <w:pStyle w:val="Style11"/>
      </w:pPr>
      <w:r>
        <w:rPr/>
        <w:t xml:space="preserve">（4）防重复预约：同一房源在同一时间段不允许存在两条有效预约，通过唯一约束在数据层保证；</w:t>
      </w:r>
    </w:p>
    <w:p>
      <w:pPr>
        <w:pStyle w:val="Style11"/>
      </w:pPr>
      <w:r>
        <w:rPr/>
        <w:t xml:space="preserve">（5）一单一评：一份租赁合同仅允许提交一次评价，评价仅对履约完成的租客开放；</w:t>
      </w:r>
    </w:p>
    <w:p>
      <w:pPr>
        <w:pStyle w:val="Style11"/>
      </w:pPr>
      <w:r>
        <w:rPr/>
        <w:t xml:space="preserve">（6）AI 内容可追溯：AI 生成的合同解读、定价建议、问答回答均标注“AI 生成，仅供参考”，涉及合同与资金的问题强制提示转人工，并保留对话日志以备核查。</w:t>
      </w:r>
    </w:p>
    <w:p>
      <w:pPr>
        <w:pStyle w:val="Heading1"/>
        <w:pageBreakBefore/>
        <w:numPr>
          <w:ilvl w:val="0"/>
          <w:numId w:val="0"/>
        </w:numPr>
      </w:pPr>
      <w:r>
        <w:rPr/>
        <w:t xml:space="preserve">5 系统上下文与总体方案</w:t>
      </w:r>
    </w:p>
    <w:p>
      <w:pPr>
        <w:pStyle w:val="Heading2"/>
        <w:numPr>
          <w:ilvl w:val="0"/>
          <w:numId w:val="0"/>
        </w:numPr>
      </w:pPr>
      <w:r>
        <w:rPr/>
        <w:t xml:space="preserve">5.1 系统上下文</w:t>
      </w:r>
    </w:p>
    <w:p>
      <w:pPr>
        <w:pStyle w:val="Style11"/>
      </w:pPr>
      <w:r>
        <w:rPr/>
        <w:t xml:space="preserve">系统上下文用于界定“系统边界”：哪些角色与外部服务与本系统交互、交换什么数据。RentAgent 的上下文如图 5-1 所示。三类用户通过浏览器访问系统；系统对外部只依赖四类服务：大模型服务、通知通道、图片存储与地图底图服务。</w:t>
      </w:r>
    </w:p>
    <w:p>
      <w:pPr>
        <w:pStyle w:val="Style11"/>
      </w:pPr>
      <w:r>
        <w:rPr/>
        <w:t xml:space="preserve">其中，大模型服务是 AI 能力的唯一外部依赖，通过 LLM 网关以 HTTPS 调用、以 SSE 回传流式结果；网关层屏蔽协议差异，支持在任意兼容模型或聚合网关之间一键切换，把“模型不可用”这一外部风险控制在配置层（见第七章 R1）。通知通道在本期以站内消息为主，邮件/短信通道用于验证码与关键事件，开发演示期采用固定验证码的 Mock 方案，避免短信费用；图片存储与地图底图服务在课程环境下均可退化为本地资源。</w:t>
      </w:r>
    </w:p>
    <w:p>
      <w:pPr>
        <w:pStyle w:val="Normal"/>
        <w:keepNext/>
        <w:spacing w:before="120" w:after="0"/>
        <w:jc w:val="center"/>
      </w:pPr>
      <w:r>
        <w:drawing>
          <wp:inline xmlns:a="http://schemas.openxmlformats.org/drawingml/2006/main">
            <wp:extent cx="5220000" cy="2461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_cont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6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</w:pPr>
      <w:r>
        <w:rPr>
          <w:sz w:val="21"/>
          <w:szCs w:val="21"/>
        </w:rPr>
        <w:t xml:space="preserve">图5-1  系统上下文图</w:t>
      </w:r>
    </w:p>
    <w:p>
      <w:pPr>
        <w:pStyle w:val="Heading2"/>
        <w:numPr>
          <w:ilvl w:val="0"/>
          <w:numId w:val="0"/>
        </w:numPr>
      </w:pPr>
      <w:r>
        <w:rPr/>
        <w:t xml:space="preserve">5.2 系统总体架构</w:t>
      </w:r>
    </w:p>
    <w:p>
      <w:pPr>
        <w:pStyle w:val="Style11"/>
      </w:pPr>
      <w:r>
        <w:rPr/>
        <w:t xml:space="preserve">系统采用前后端分离的 B/S 架构，自上而下分为表现层、业务层、智能体层与数据层四层，总体架构如图 5-2 所示。</w:t>
      </w:r>
    </w:p>
    <w:p>
      <w:pPr>
        <w:pStyle w:val="Style11"/>
      </w:pPr>
      <w:r>
        <w:rPr/>
        <w:t xml:space="preserve">分层的边界约定是：表现层只负责呈现与交互，不含业务规则；业务层承载全部业务规则与权限校验，是唯一允许直接访问数据库的层次；智能体层不直接操作数据库，所有数据访问都通过业务层暴露的工具接口完成，从而保证 AI 能力与业务规则的一致性；数据层由 MySQL、Redis 与图片目录构成。这种分层使智能体能力可以独立演进（新增工具只需注册工具定义，不改动对话主流程，对应 NFR-09），也使系统的部署形态保持简单：单台云主机上以 Docker Compose 编排即可运行全部组件。</w:t>
      </w:r>
    </w:p>
    <w:p>
      <w:pPr>
        <w:pStyle w:val="Normal"/>
        <w:keepNext/>
        <w:spacing w:before="120" w:after="0"/>
        <w:jc w:val="center"/>
      </w:pPr>
      <w:r>
        <w:drawing>
          <wp:inline xmlns:a="http://schemas.openxmlformats.org/drawingml/2006/main">
            <wp:extent cx="5400000" cy="2168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2_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8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80"/>
        <w:jc w:val="center"/>
      </w:pPr>
      <w:r>
        <w:rPr>
          <w:sz w:val="21"/>
          <w:szCs w:val="21"/>
        </w:rPr>
        <w:t xml:space="preserve">图5-2  系统总体架构图</w:t>
      </w:r>
    </w:p>
    <w:p>
      <w:pPr>
        <w:pStyle w:val="Heading2"/>
        <w:pageBreakBefore/>
        <w:numPr>
          <w:ilvl w:val="0"/>
          <w:numId w:val="0"/>
        </w:numPr>
      </w:pPr>
      <w:r>
        <w:rPr/>
        <w:t xml:space="preserve">5.3 技术方案选型</w:t>
      </w:r>
    </w:p>
    <w:p>
      <w:pPr>
        <w:pStyle w:val="Style11"/>
      </w:pPr>
      <w:r>
        <w:rPr/>
        <w:t xml:space="preserve">系统各层的技术选型与理由如下表所示。选型以“成熟、可复用、团队有基础”为原则，不引入需要长期学习成本的前沿组件。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表5-1 技术方案选型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124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层次</w:t>
            </w:r>
          </w:p>
        </w:tc>
        <w:tc>
          <w:tcPr>
            <w:tcW w:type="dxa" w:w="306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选型</w:t>
            </w:r>
          </w:p>
        </w:tc>
        <w:tc>
          <w:tcPr>
            <w:tcW w:type="dxa" w:w="5323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表现层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React 18 + TypeScript + Vite + Ant Design 5 + ECharts</w:t>
            </w:r>
          </w:p>
        </w:tc>
        <w:tc>
          <w:tcPr>
            <w:tcW w:type="dxa" w:w="532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组件库成熟，适合快速构建管理型多端界面；TypeScript 严格类型检查提升多人协作下的可维护性；与高保真原型载体统一，降低双栈维护成本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客户端形态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浏览器 Web 版 + Electron 桌面端（共用同一份构建产物）</w:t>
            </w:r>
          </w:p>
        </w:tc>
        <w:tc>
          <w:tcPr>
            <w:tcW w:type="dxa" w:w="532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Web 版便于部署与分享，桌面端免开浏览器、便于本地演示；外壳仅负责打开页面并注入后端地址，不新增界面与功能，因此两种形态的维护成本接近于一版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业务层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Spring Boot 3.x + MyBatis-Plus</w:t>
            </w:r>
          </w:p>
        </w:tc>
        <w:tc>
          <w:tcPr>
            <w:tcW w:type="dxa" w:w="532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国内主流企业级框架，分层清晰、开发效率高，便于团队按模块分工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接入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任意兼容模型 API（网关按协议适配：OpenAI Chat Completions / Anthropic Messages / OpenAI Responses）</w:t>
            </w:r>
          </w:p>
        </w:tc>
        <w:tc>
          <w:tcPr>
            <w:tcW w:type="dxa" w:w="532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按量计费、成本可控；经 LLM 网关接入，支持三协议后端可配置切换，避免锁定单一厂商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智能体框架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LangChain4j + 自研协议适配器</w:t>
            </w:r>
          </w:p>
        </w:tc>
        <w:tc>
          <w:tcPr>
            <w:tcW w:type="dxa" w:w="532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提供工具调用、对话记忆与 RAG 的工程化封装；自研适配器用于屏蔽厂商协议差异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智能体能力实现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Function Calling 工具集 + RAG 检索增强 + 多轮对话记忆</w:t>
            </w:r>
          </w:p>
        </w:tc>
        <w:tc>
          <w:tcPr>
            <w:tcW w:type="dxa" w:w="532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工具调用保证“能做”，RAG 保证“有据”，记忆保证多轮上下文可用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数据层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MySQL 8（业务数据）+ Redis 7（缓存与会话）+ 向量检索（Redis Stack / PGVector）</w:t>
            </w:r>
          </w:p>
        </w:tc>
        <w:tc>
          <w:tcPr>
            <w:tcW w:type="dxa" w:w="532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关系型业务数据与高频缓存/会话的经典组合；向量检索复用现有基础设施，避免额外运维向量库集群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安全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JWT 鉴权 + RBAC 角色模型 + BCrypt 密码哈希 + AES 敏感字段加密</w:t>
            </w:r>
          </w:p>
        </w:tc>
        <w:tc>
          <w:tcPr>
            <w:tcW w:type="dxa" w:w="532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满足三角色权限隔离与个人信息保护要求（NFR-03/04）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部署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Docker Compose 单机部署（Nginx + 前端静态资源 + 后端服务 + 数据库）；桌面端另提供安装包（AppImage / deb）</w:t>
            </w:r>
          </w:p>
        </w:tc>
        <w:tc>
          <w:tcPr>
            <w:tcW w:type="dxa" w:w="5323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课程项目运维成本最低，一条命令即可在演示环境复现；桌面端随交付物分发，运行需连接后端服务</w:t>
            </w:r>
          </w:p>
        </w:tc>
      </w:tr>
    </w:tbl>
    <w:p>
      <w:pPr>
        <w:pStyle w:val="Heading2"/>
        <w:pageBreakBefore/>
        <w:numPr>
          <w:ilvl w:val="0"/>
          <w:numId w:val="0"/>
        </w:numPr>
      </w:pPr>
      <w:r>
        <w:rPr/>
        <w:t xml:space="preserve">5.4 AI 智能体能力定义</w:t>
      </w:r>
    </w:p>
    <w:p>
      <w:pPr>
        <w:pStyle w:val="Style11"/>
      </w:pPr>
      <w:r>
        <w:rPr/>
        <w:t xml:space="preserve">AI 智能体能力是本项目的差异化特色。本期共五项能力（四项核心能力 P0/P1、一项辅助审核 P2），均以工具调用方式嵌入真实业务流程，而非独立于业务之外的聊天窗口。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表5-2 AI 智能体能力定义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56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70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能力</w:t>
            </w:r>
          </w:p>
        </w:tc>
        <w:tc>
          <w:tcPr>
            <w:tcW w:type="dxa" w:w="73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优先级</w:t>
            </w:r>
          </w:p>
        </w:tc>
        <w:tc>
          <w:tcPr>
            <w:tcW w:type="dxa" w:w="5216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能力说明与边界</w:t>
            </w:r>
          </w:p>
        </w:tc>
        <w:tc>
          <w:tcPr>
            <w:tcW w:type="dxa" w:w="141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承载需求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1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AI 找房助手</w:t>
            </w:r>
          </w:p>
        </w:tc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P0</w:t>
            </w:r>
          </w:p>
        </w:tc>
        <w:tc>
          <w:tcPr>
            <w:tcW w:type="dxa" w:w="521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把自然语言需求解析为结构化条件，调用房源检索工具返回房源卡片与推荐理由，支持多轮增量调整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FR-12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2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智能客服</w:t>
            </w:r>
          </w:p>
        </w:tc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P0</w:t>
            </w:r>
          </w:p>
        </w:tc>
        <w:tc>
          <w:tcPr>
            <w:tcW w:type="dxa" w:w="521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基于平台规则与租赁政策 FAQ 知识库回答问题，回答附来源；未命中知识库时礼貌引导转人工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FR-13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3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合同智能解读</w:t>
            </w:r>
          </w:p>
        </w:tc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P1</w:t>
            </w:r>
          </w:p>
        </w:tc>
        <w:tc>
          <w:tcPr>
            <w:tcW w:type="dxa" w:w="521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逐条通俗化解释合同条款，标出高额违约金、单方涨租等风险条款，输出标注“仅供参考”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FR-14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4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智能定价建议</w:t>
            </w:r>
          </w:p>
        </w:tc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P1</w:t>
            </w:r>
          </w:p>
        </w:tc>
        <w:tc>
          <w:tcPr>
            <w:tcW w:type="dxa" w:w="521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基于同小区同户型在租与历史成交样本给出定价区间、依据与样本量；样本不足时明确告知数据不足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FR-15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5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虚假房源检测（辅助审核）</w:t>
            </w:r>
          </w:p>
        </w:tc>
        <w:tc>
          <w:tcPr>
            <w:tcW w:type="dxa" w:w="73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P2</w:t>
            </w:r>
          </w:p>
        </w:tc>
        <w:tc>
          <w:tcPr>
            <w:tcW w:type="dxa" w:w="5216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对房源文本、图片与历史数据做一致性分析，输出风险分与疑点列表；高分房源在审核列表置顶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FR-16</w:t>
            </w:r>
          </w:p>
        </w:tc>
      </w:tr>
    </w:tbl>
    <w:p>
      <w:pPr>
        <w:pStyle w:val="Heading1"/>
        <w:pageBreakBefore/>
        <w:numPr>
          <w:ilvl w:val="0"/>
          <w:numId w:val="0"/>
        </w:numPr>
      </w:pPr>
      <w:r>
        <w:rPr/>
        <w:t xml:space="preserve">6 可行性分析</w:t>
      </w:r>
    </w:p>
    <w:p>
      <w:pPr>
        <w:pStyle w:val="Heading2"/>
        <w:numPr>
          <w:ilvl w:val="0"/>
          <w:numId w:val="0"/>
        </w:numPr>
      </w:pPr>
      <w:r>
        <w:rPr/>
        <w:t xml:space="preserve">6.1 技术可行性</w:t>
      </w:r>
    </w:p>
    <w:p>
      <w:pPr>
        <w:pStyle w:val="Style11"/>
      </w:pPr>
      <w:r>
        <w:rPr/>
        <w:t xml:space="preserve">技术可行性：系统的技术链路已全部落在成熟框架与公开文档覆盖的范围内。业务侧采用 Spring Boot与 React 这两套团队已有基础的栈；AI 侧不需要自训练模型，只需调用第三方大模型 API，并以工具调用与 RAG 的方式与业务数据对接；数据库与缓存采用 MySQL 与 Redis 的标准组合。团队在需求定义阶段已完成关键技术的预研验证：智能体对话链路、流式输出、图片上传与鉴权等关键环节均已通过最小原型跑通，技术不确定性主要集中在提示词效果与模型响应时延，二者均属可迭代优化项，不构成阻塞。</w:t>
      </w:r>
    </w:p>
    <w:p>
      <w:pPr>
        <w:pStyle w:val="Heading2"/>
        <w:numPr>
          <w:ilvl w:val="0"/>
          <w:numId w:val="0"/>
        </w:numPr>
      </w:pPr>
      <w:r>
        <w:rPr/>
        <w:t xml:space="preserve">6.2 经济可行性</w:t>
      </w:r>
    </w:p>
    <w:p>
      <w:pPr>
        <w:pStyle w:val="Style11"/>
      </w:pPr>
      <w:r>
        <w:rPr/>
        <w:t xml:space="preserve">经济可行性：项目以课程设计为目标，人力成本为零；硬件与外部服务支出集中在云主机与大模型 API两项，均可控制在百元量级。大模型按量计费，开发与演示期通常可由新用户免费额度覆盖；短信验证码在开发演示期采用 Mock 通道，避免短信费用。资源与预算估算如下表所示。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表6-1 资源与预算估算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96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类别</w:t>
            </w:r>
          </w:p>
        </w:tc>
        <w:tc>
          <w:tcPr>
            <w:tcW w:type="dxa" w:w="294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项目</w:t>
            </w:r>
          </w:p>
        </w:tc>
        <w:tc>
          <w:tcPr>
            <w:tcW w:type="dxa" w:w="187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估算金额</w:t>
            </w:r>
          </w:p>
        </w:tc>
        <w:tc>
          <w:tcPr>
            <w:tcW w:type="dxa" w:w="384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人力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团队成员 5 人（课程项目）</w:t>
            </w:r>
          </w:p>
        </w:tc>
        <w:tc>
          <w:tcPr>
            <w:tcW w:type="dxa" w:w="187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 元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无人力成本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硬件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云服务器 1 台（2C4G 及以上），约 3 个月</w:t>
            </w:r>
          </w:p>
        </w:tc>
        <w:tc>
          <w:tcPr>
            <w:tcW w:type="dxa" w:w="187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约 300 元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学生优惠或复用已有主机可进一步降低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AI 服务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大模型 API 开发与演示期用量</w:t>
            </w:r>
          </w:p>
        </w:tc>
        <w:tc>
          <w:tcPr>
            <w:tcW w:type="dxa" w:w="187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 ~ 100 元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按量计费，免费额度通常已覆盖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工具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原型与设计工具、IDE、数据库客户端</w:t>
            </w:r>
          </w:p>
        </w:tc>
        <w:tc>
          <w:tcPr>
            <w:tcW w:type="dxa" w:w="187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 元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均使用免费档或开源工具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其他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域名（可选）、短信验证码（Mock 方案则为 0）</w:t>
            </w:r>
          </w:p>
        </w:tc>
        <w:tc>
          <w:tcPr>
            <w:tcW w:type="dxa" w:w="187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0 ~ 60 元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演示期验证码走 Mock / 邮箱通道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合计</w:t>
            </w:r>
          </w:p>
        </w:tc>
        <w:tc>
          <w:tcPr>
            <w:tcW w:type="dxa" w:w="294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—</w:t>
            </w:r>
          </w:p>
        </w:tc>
        <w:tc>
          <w:tcPr>
            <w:tcW w:type="dxa" w:w="187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约 0 ~ 460 元 / 项目周期</w:t>
            </w:r>
          </w:p>
        </w:tc>
        <w:tc>
          <w:tcPr>
            <w:tcW w:type="dxa" w:w="38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以实际采购为准，由项目负责人确认后登记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6.3 操作可行性</w:t>
      </w:r>
    </w:p>
    <w:p>
      <w:pPr>
        <w:pStyle w:val="Style11"/>
      </w:pPr>
      <w:r>
        <w:rPr/>
        <w:t xml:space="preserve">操作可行性：三类用户的交互方式都遵循其既有习惯。租客端与房东端以表单、列表、卡片为主，新增的 AI 能力以对话方式呈现，不需要额外学习成本；管理端沿用可视化工作台与看板；系统以浏览器为载体，无需安装即可使用，另提供免安装（解压/免安装包）的桌面端外壳供不便打开浏览器的演示场景使用，两者界面与操作完全一致。对运维而言，Docker Compose 单机部署使环境搭建与演示复现成本极低，团队成员均可独立完成本地环境启动。</w:t>
      </w:r>
    </w:p>
    <w:p>
      <w:pPr>
        <w:pStyle w:val="Heading2"/>
        <w:numPr>
          <w:ilvl w:val="0"/>
          <w:numId w:val="0"/>
        </w:numPr>
      </w:pPr>
      <w:r>
        <w:rPr/>
        <w:t xml:space="preserve">6.4 法律与合规可行性</w:t>
      </w:r>
    </w:p>
    <w:p>
      <w:pPr>
        <w:pStyle w:val="Style11"/>
      </w:pPr>
      <w:r>
        <w:rPr/>
        <w:t xml:space="preserve">法律与合规可行性：系统在个人信息收集上遵循最小必要原则，身份证号等敏感字段加密存储，仅用于实名核验；AI 生成内容统一标注“AI 生成，仅供参考”并保留对话日志，使生成内容可标识、可追溯；合同模板来源合法，签约流程仅做流程演示，不主张电子签章的法律效力。在线支付与资金托管明确列入范围外，规避金融合规要求。上述约定已写入《需求分析矩阵》的非功能需求 NFR-04、NFR-05 并将在设计中落实。</w:t>
      </w:r>
    </w:p>
    <w:p>
      <w:pPr>
        <w:pStyle w:val="Heading2"/>
        <w:numPr>
          <w:ilvl w:val="0"/>
          <w:numId w:val="0"/>
        </w:numPr>
      </w:pPr>
      <w:r>
        <w:rPr/>
        <w:t xml:space="preserve">6.5 可行性结论</w:t>
      </w:r>
    </w:p>
    <w:p>
      <w:pPr>
        <w:pStyle w:val="Style11"/>
      </w:pPr>
      <w:r>
        <w:rPr/>
        <w:t xml:space="preserve">四个维度的分析结论汇总如下表所示，结论均为可行，项目具备启动条件。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表6-2 可行性分析结论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136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维度</w:t>
            </w:r>
          </w:p>
        </w:tc>
        <w:tc>
          <w:tcPr>
            <w:tcW w:type="dxa" w:w="85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结论</w:t>
            </w:r>
          </w:p>
        </w:tc>
        <w:tc>
          <w:tcPr>
            <w:tcW w:type="dxa" w:w="742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主要依据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技术可行性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可行</w:t>
            </w:r>
          </w:p>
        </w:tc>
        <w:tc>
          <w:tcPr>
            <w:tcW w:type="dxa" w:w="742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技术栈成熟、团队具备基础；关键链路已通过最小原型验证，无需自训练模型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经济可行性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可行</w:t>
            </w:r>
          </w:p>
        </w:tc>
        <w:tc>
          <w:tcPr>
            <w:tcW w:type="dxa" w:w="742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总支出约 0 ~ 460 元，以云主机与大模型 API 为主，可由免费额度显著降低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操作可行性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可行</w:t>
            </w:r>
          </w:p>
        </w:tc>
        <w:tc>
          <w:tcPr>
            <w:tcW w:type="dxa" w:w="742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用户交互沿既有习惯，无额外学习成本；部署与演示复现成本低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法律与合规可行性</w:t>
            </w:r>
          </w:p>
        </w:tc>
        <w:tc>
          <w:tcPr>
            <w:tcW w:type="dxa" w:w="85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可行</w:t>
            </w:r>
          </w:p>
        </w:tc>
        <w:tc>
          <w:tcPr>
            <w:tcW w:type="dxa" w:w="742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>个人信息最小化收集与加密存储；AI 生成内容标识与留痕；不涉及支付与电子签章资质</w:t>
            </w:r>
          </w:p>
        </w:tc>
      </w:tr>
    </w:tbl>
    <w:p>
      <w:pPr>
        <w:pStyle w:val="Heading1"/>
        <w:pageBreakBefore/>
        <w:numPr>
          <w:ilvl w:val="0"/>
          <w:numId w:val="0"/>
        </w:numPr>
      </w:pPr>
      <w:r>
        <w:rPr/>
        <w:t xml:space="preserve">7 风险识别与应对</w:t>
      </w:r>
    </w:p>
    <w:p>
      <w:pPr>
        <w:pStyle w:val="Style11"/>
      </w:pPr>
      <w:r>
        <w:rPr/>
        <w:t xml:space="preserve">需求定义阶段识别出的主要风险如下表所示。其中 R1（模型服务不稳定）与 R2（回答幻觉）等级最高，是本项目在方案层面必须给出应对措施的两项：前者通过 LLM 网关的协议抽象与备用模型切换化解，后者通过 RAG 强制引用来源、合同与资金问题强制转人工、对话日志留痕三条措施共同抑制。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表7-1 风险识别与应对措施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62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编号</w:t>
            </w:r>
          </w:p>
        </w:tc>
        <w:tc>
          <w:tcPr>
            <w:tcW w:type="dxa" w:w="226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风险</w:t>
            </w:r>
          </w:p>
        </w:tc>
        <w:tc>
          <w:tcPr>
            <w:tcW w:type="dxa" w:w="68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等级</w:t>
            </w:r>
          </w:p>
        </w:tc>
        <w:tc>
          <w:tcPr>
            <w:tcW w:type="dxa" w:w="464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应对措施</w:t>
            </w:r>
          </w:p>
        </w:tc>
        <w:tc>
          <w:tcPr>
            <w:tcW w:type="dxa" w:w="1412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责任角色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R1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大模型 API 不稳定或收费政策变化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高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LLM 网关层抽象协议，支持备用模型一键切换；演示前完成多后端连通性验证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AI 工程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R2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AI 回答幻觉导致误导用户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高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RAG 强制引用知识库来源；合同/资金类问题强制转人工提示；输出标注“仅供参考”；保留对话日志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AI 工程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R3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团队 AI 工程经验不足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中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技术预研 Demo 先行；优先使用成熟框架封装；原型阶段已先行验证交互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项目负责人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R4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范围蔓延（功能越做越多）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中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以本文档范围清单为基线，新增需求走变更评审（见 8.3 节）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全体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R5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进度延误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中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按里程碑检查；先保 P0 业务闭环，AI 能力按 P0/P1 分级交付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项目负责人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R6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团队成员时间冲突或退出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中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分工文档化、关键模块结对熟悉、代码入库即共享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项目负责人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R7</w:t>
            </w:r>
          </w:p>
        </w:tc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生成式 AI 内容合规风险</w:t>
            </w:r>
          </w:p>
        </w:tc>
        <w:tc>
          <w:tcPr>
            <w:tcW w:type="dxa" w:w="680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低</w:t>
            </w:r>
          </w:p>
        </w:tc>
        <w:tc>
          <w:tcPr>
            <w:tcW w:type="dxa" w:w="4649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内容标识与可追溯（NFR-05）；遵循平台内容规范与个人信息保护法最小化收集</w:t>
            </w:r>
          </w:p>
        </w:tc>
        <w:tc>
          <w:tcPr>
            <w:tcW w:type="dxa" w:w="1412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文档 / 全体</w:t>
            </w:r>
          </w:p>
        </w:tc>
      </w:tr>
    </w:tbl>
    <w:p>
      <w:pPr>
        <w:pStyle w:val="Heading1"/>
        <w:pageBreakBefore/>
        <w:numPr>
          <w:ilvl w:val="0"/>
          <w:numId w:val="0"/>
        </w:numPr>
      </w:pPr>
      <w:r>
        <w:rPr/>
        <w:t xml:space="preserve">8 开发计划与团队分工</w:t>
      </w:r>
    </w:p>
    <w:p>
      <w:pPr>
        <w:pStyle w:val="Heading2"/>
        <w:numPr>
          <w:ilvl w:val="0"/>
          <w:numId w:val="0"/>
        </w:numPr>
      </w:pPr>
      <w:r>
        <w:rPr/>
        <w:t xml:space="preserve">8.1 里程碑计划</w:t>
      </w:r>
    </w:p>
    <w:p>
      <w:pPr>
        <w:pStyle w:val="Style11"/>
      </w:pPr>
      <w:r>
        <w:rPr/>
        <w:t xml:space="preserve">项目按六个阶段推进，每个阶段对应课程要求的一项成果物。需求定义（本阶段）完成后，进入需求分析并同步开展概要设计与数据库设计，随后进入两轮迭代开发、智能体开发与测试验收。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表8-1 阶段里程碑计划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56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阶段</w:t>
            </w:r>
          </w:p>
        </w:tc>
        <w:tc>
          <w:tcPr>
            <w:tcW w:type="dxa" w:w="113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阶段名称</w:t>
            </w:r>
          </w:p>
        </w:tc>
        <w:tc>
          <w:tcPr>
            <w:tcW w:type="dxa" w:w="2494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主要工作</w:t>
            </w:r>
          </w:p>
        </w:tc>
        <w:tc>
          <w:tcPr>
            <w:tcW w:type="dxa" w:w="306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阶段成果物</w:t>
            </w:r>
          </w:p>
        </w:tc>
        <w:tc>
          <w:tcPr>
            <w:tcW w:type="dxa" w:w="2375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1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需求定义</w:t>
            </w:r>
          </w:p>
        </w:tc>
        <w:tc>
          <w:tcPr>
            <w:tcW w:type="dxa" w:w="249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项目目标、范围、可行性、方案设想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《需求定义说明书》（本文档）</w:t>
            </w:r>
          </w:p>
        </w:tc>
        <w:tc>
          <w:tcPr>
            <w:tcW w:type="dxa" w:w="237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已完成（2026-09-16）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2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需求分析</w:t>
            </w:r>
          </w:p>
        </w:tc>
        <w:tc>
          <w:tcPr>
            <w:tcW w:type="dxa" w:w="249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需求规格、需求分析矩阵、高保真原型、需求跟踪矩阵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《需求分析矩阵》《原型工具使用方法》《需求跟踪矩阵》</w:t>
            </w:r>
          </w:p>
        </w:tc>
        <w:tc>
          <w:tcPr>
            <w:tcW w:type="dxa" w:w="237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已完成（2026-09-04，v1.1）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3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概要设计</w:t>
            </w:r>
          </w:p>
        </w:tc>
        <w:tc>
          <w:tcPr>
            <w:tcW w:type="dxa" w:w="249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系统结构、模块划分、类图、数据库设计、接口设计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《概要设计》《数据库设计》《数据库表数据字典》</w:t>
            </w:r>
          </w:p>
        </w:tc>
        <w:tc>
          <w:tcPr>
            <w:tcW w:type="dxa" w:w="237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进行中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4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编码实现</w:t>
            </w:r>
          </w:p>
        </w:tc>
        <w:tc>
          <w:tcPr>
            <w:tcW w:type="dxa" w:w="249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三端功能与后端服务代码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可运行系统 + 源代码（frontend/、server/）</w:t>
            </w:r>
          </w:p>
        </w:tc>
        <w:tc>
          <w:tcPr>
            <w:tcW w:type="dxa" w:w="237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进行中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5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集成测试</w:t>
            </w:r>
          </w:p>
        </w:tc>
        <w:tc>
          <w:tcPr>
            <w:tcW w:type="dxa" w:w="249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测试用例、功能与接口测试执行、缺陷跟踪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《集成测试报告》</w:t>
            </w:r>
          </w:p>
        </w:tc>
        <w:tc>
          <w:tcPr>
            <w:tcW w:type="dxa" w:w="237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未开始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6</w:t>
            </w:r>
          </w:p>
        </w:tc>
        <w:tc>
          <w:tcPr>
            <w:tcW w:type="dxa" w:w="113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技术调查</w:t>
            </w:r>
          </w:p>
        </w:tc>
        <w:tc>
          <w:tcPr>
            <w:tcW w:type="dxa" w:w="2494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关键技术专题调查（智能体接入、流式输出、向量检索等）</w:t>
            </w:r>
          </w:p>
        </w:tc>
        <w:tc>
          <w:tcPr>
            <w:tcW w:type="dxa" w:w="3061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《技术调查技术报告》</w:t>
            </w:r>
          </w:p>
        </w:tc>
        <w:tc>
          <w:tcPr>
            <w:tcW w:type="dxa" w:w="237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未开始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8.2 团队分工</w:t>
      </w:r>
    </w:p>
    <w:p>
      <w:pPr>
        <w:pStyle w:val="Style11"/>
      </w:pPr>
      <w:r>
        <w:rPr/>
        <w:t xml:space="preserve">项目组成员与职责分工如下表所示。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表8-2 团队分工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56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序号</w:t>
            </w:r>
          </w:p>
        </w:tc>
        <w:tc>
          <w:tcPr>
            <w:tcW w:type="dxa" w:w="1020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成员</w:t>
            </w:r>
          </w:p>
        </w:tc>
        <w:tc>
          <w:tcPr>
            <w:tcW w:type="dxa" w:w="192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角色</w:t>
            </w:r>
          </w:p>
        </w:tc>
        <w:tc>
          <w:tcPr>
            <w:tcW w:type="dxa" w:w="6117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主要职责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1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王硕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项目负责人 / 后端</w:t>
            </w:r>
          </w:p>
        </w:tc>
        <w:tc>
          <w:tcPr>
            <w:tcW w:type="dxa" w:w="611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项目管理与里程碑把控；用户与权限、房源、交易等核心业务模块开发；对外接口与数据库设计评审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2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邓颢琛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后端 / AI 工程</w:t>
            </w:r>
          </w:p>
        </w:tc>
        <w:tc>
          <w:tcPr>
            <w:tcW w:type="dxa" w:w="611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智能体层与 LLM 网关；RAG 知识库与提示词工程；工具调用开发（房源检索、预约、合同、定价）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3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张卫雨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前端（租客端 / 房东端）</w:t>
            </w:r>
          </w:p>
        </w:tc>
        <w:tc>
          <w:tcPr>
            <w:tcW w:type="dxa" w:w="611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租客端与房东端页面开发；AI 对话界面与房源卡片组件；原型精修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4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陈玄晔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前端 / 测试（管理端）</w:t>
            </w:r>
          </w:p>
        </w:tc>
        <w:tc>
          <w:tcPr>
            <w:tcW w:type="dxa" w:w="611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管理后台页面开发；测试用例编写与执行；缺陷跟踪与回归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5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李天泽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文档 / 数据</w:t>
            </w:r>
          </w:p>
        </w:tc>
        <w:tc>
          <w:tcPr>
            <w:tcW w:type="dxa" w:w="611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文档编写与维护；数据库设计与数据字典；测试数据与知识库 FAQ 准备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7"/>
                <w:szCs w:val="17"/>
                <w:b w:val="0"/>
              </w:rPr>
              <w:t xml:space="preserve">6</w:t>
            </w:r>
          </w:p>
        </w:tc>
        <w:tc>
          <w:tcPr>
            <w:tcW w:type="dxa" w:w="1020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姜厚云</w:t>
            </w:r>
          </w:p>
        </w:tc>
        <w:tc>
          <w:tcPr>
            <w:tcW w:type="dxa" w:w="1928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指导教师 / 评审组</w:t>
            </w:r>
          </w:p>
        </w:tc>
        <w:tc>
          <w:tcPr>
            <w:tcW w:type="dxa" w:w="6117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7"/>
                <w:szCs w:val="17"/>
                <w:b w:val="0"/>
              </w:rPr>
              <w:t xml:space="preserve">阶段评审、重大变更审批与答辩验收</w:t>
            </w:r>
          </w:p>
        </w:tc>
      </w:tr>
    </w:tbl>
    <w:p>
      <w:pPr>
        <w:pStyle w:val="Heading2"/>
        <w:numPr>
          <w:ilvl w:val="0"/>
          <w:numId w:val="0"/>
        </w:numPr>
      </w:pPr>
      <w:r>
        <w:rPr/>
        <w:t xml:space="preserve">8.3 需求变更管理</w:t>
      </w:r>
    </w:p>
    <w:p>
      <w:pPr>
        <w:pStyle w:val="Style11"/>
      </w:pPr>
      <w:r>
        <w:rPr/>
        <w:t xml:space="preserve">需求变更按下列流程管理：任何超出本文档第三章范围清单的需求，须由提出人说明理由并填写变更记录；由项目负责人组织评估其对进度、工作量与风险的影响；评估通过后同步更新《需求分析矩阵》与《需求跟踪矩阵》，重大变更须经指导教师/评审组同意。范围之外的需求在评估通过前不予实现，以避免范围蔓延（R4）。</w:t>
      </w:r>
    </w:p>
    <w:p>
      <w:pPr>
        <w:pStyle w:val="Style11"/>
      </w:pPr>
      <w:r>
        <w:rPr/>
        <w:t xml:space="preserve">本文档的版本变更记录见卷首“文件修改控制”表；范围或目标发生实质变化时，本文档需随之升版，并与《需求分析矩阵》保持一致。</w:t>
      </w:r>
    </w:p>
    <w:p>
      <w:pPr>
        <w:pStyle w:val="Heading1"/>
        <w:pageBreakBefore/>
        <w:numPr>
          <w:ilvl w:val="0"/>
          <w:numId w:val="0"/>
        </w:numPr>
      </w:pPr>
      <w:r>
        <w:rPr/>
        <w:t xml:space="preserve">9 确认与签署</w:t>
      </w:r>
    </w:p>
    <w:p>
      <w:pPr>
        <w:pStyle w:val="Style11"/>
      </w:pPr>
      <w:r>
        <w:rPr/>
        <w:t xml:space="preserve">本文档确定的项目目标、系统范围、用户角色、总体方案与实施计划，经项目组讨论确认后生效，作为需求分析、概要设计、开发与验收的基线依据。后续阶段如需调整范围或目标，按 8.3 节的需求变更管理流程执行。</w:t>
      </w:r>
    </w:p>
    <w:p>
      <w:pPr>
        <w:pStyle w:val="Normal"/>
        <w:keepNext/>
        <w:spacing w:before="180" w:after="60"/>
        <w:jc w:val="center"/>
      </w:pPr>
      <w:r>
        <w:rPr>
          <w:sz w:val="21"/>
          <w:szCs w:val="21"/>
        </w:rPr>
        <w:t xml:space="preserve">表9-1 确认与签署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角色</w:t>
            </w:r>
          </w:p>
        </w:tc>
        <w:tc>
          <w:tcPr>
            <w:tcW w:type="dxa" w:w="1701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姓名</w:t>
            </w:r>
          </w:p>
        </w:tc>
        <w:tc>
          <w:tcPr>
            <w:tcW w:type="dxa" w:w="2835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签字</w:t>
            </w:r>
          </w:p>
        </w:tc>
        <w:tc>
          <w:tcPr>
            <w:tcW w:type="dxa" w:w="2829"/>
            <w:shd w:val="clear" w:fill="E6E6E6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1"/>
              </w:rPr>
              <w:t xml:space="preserve">日期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项目负责人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王硕</w:t>
            </w:r>
          </w:p>
        </w:tc>
        <w:tc>
          <w:tcPr>
            <w:tcW w:type="dxa" w:w="28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2829"/>
          </w:tcPr>
          <w:p/>
        </w:tc>
      </w:tr>
      <w:tr>
        <w:trPr>
          <w:cantSplit/>
        </w:trPr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后端 / AI 工程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邓颢琛</w:t>
            </w:r>
          </w:p>
        </w:tc>
        <w:tc>
          <w:tcPr>
            <w:tcW w:type="dxa" w:w="28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2829"/>
          </w:tcPr>
          <w:p/>
        </w:tc>
      </w:tr>
      <w:tr>
        <w:trPr>
          <w:cantSplit/>
        </w:trPr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前端（租客端 / 房东端）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张卫雨</w:t>
            </w:r>
          </w:p>
        </w:tc>
        <w:tc>
          <w:tcPr>
            <w:tcW w:type="dxa" w:w="28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2829"/>
          </w:tcPr>
          <w:p/>
        </w:tc>
      </w:tr>
      <w:tr>
        <w:trPr>
          <w:cantSplit/>
        </w:trPr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前端 / 测试（管理端）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陈玄晔</w:t>
            </w:r>
          </w:p>
        </w:tc>
        <w:tc>
          <w:tcPr>
            <w:tcW w:type="dxa" w:w="28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2829"/>
          </w:tcPr>
          <w:p/>
        </w:tc>
      </w:tr>
      <w:tr>
        <w:trPr>
          <w:cantSplit/>
        </w:trPr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文档 / 数据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李天泽</w:t>
            </w:r>
          </w:p>
        </w:tc>
        <w:tc>
          <w:tcPr>
            <w:tcW w:type="dxa" w:w="28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2829"/>
          </w:tcPr>
          <w:p/>
        </w:tc>
      </w:tr>
      <w:tr>
        <w:trPr>
          <w:cantSplit/>
        </w:trPr>
        <w:tc>
          <w:tcPr>
            <w:tcW w:type="dxa" w:w="2268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指导教师 / 评审组</w:t>
            </w:r>
          </w:p>
        </w:tc>
        <w:tc>
          <w:tcPr>
            <w:tcW w:type="dxa" w:w="1701"/>
          </w:tcPr>
          <w:p>
            <w:pPr>
              <w:pStyle w:val="Normal"/>
              <w:spacing w:after="20" w:before="20" w:line="240" w:lineRule="auto"/>
              <w:jc w:val="center"/>
            </w:pPr>
            <w:r>
              <w:rPr>
                <w:sz w:val="18"/>
                <w:szCs w:val="18"/>
                <w:b w:val="0"/>
              </w:rPr>
              <w:t xml:space="preserve">姜厚云</w:t>
            </w:r>
          </w:p>
        </w:tc>
        <w:tc>
          <w:tcPr>
            <w:tcW w:type="dxa" w:w="2835"/>
          </w:tcPr>
          <w:p>
            <w:pPr>
              <w:pStyle w:val="Normal"/>
              <w:spacing w:after="20" w:before="20" w:line="240" w:lineRule="auto"/>
              <w:jc w:val="left"/>
            </w:pPr>
            <w:r>
              <w:rPr>
                <w:sz w:val="18"/>
                <w:szCs w:val="18"/>
                <w:b w:val="0"/>
              </w:rPr>
              <w:t xml:space="preserve"/>
            </w:r>
          </w:p>
        </w:tc>
        <w:tc>
          <w:tcPr>
            <w:tcW w:type="dxa" w:w="2829"/>
          </w:tcPr>
          <w:p/>
        </w:tc>
      </w:tr>
    </w:tbl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418" w:right="851" w:gutter="0" w:header="737" w:top="1134" w:footer="737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幼圆">
    <w:charset w:val="86"/>
    <w:family w:val="modern"/>
    <w:pitch w:val="default"/>
  </w:font>
  <w:font w:name="黑体">
    <w:altName w:val="SimHei"/>
    <w:charset w:val="86"/>
    <w:family w:val="modern"/>
    <w:pitch w:val="default"/>
  </w:font>
  <w:font w:name="楷体_GB2312">
    <w:altName w:val="微软雅黑"/>
    <w:charset w:val="86"/>
    <w:family w:val="modern"/>
    <w:pitch w:val="default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hint="eastAsia"/>
      </w:rPr>
    </w:pPr>
    <w:r>
      <w:rPr>
        <w:rFonts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jc w:val="both"/>
      <w:rPr>
        <w:rFonts w:hint="eastAsia"/>
      </w:rPr>
    </w:pPr>
    <w:r>
      <w:rPr>
        <w:rFonts w:hint="eastAsia" w:eastAsia="幼圆"/>
      </w:rPr>
      <w:t>RentAgent 需求定义说明书                                                        版本：</w:t>
    </w:r>
    <w:r>
      <w:rPr>
        <w:rFonts w:eastAsia="幼圆" w:hint="eastAsia"/>
      </w:rPr>
      <w:t>V1.1</w:t>
    </w:r>
    <w:r>
      <w:rPr>
        <w:rFonts w:eastAsia="幼圆"/>
      </w:rPr>
      <w:t xml:space="preserve">  </w:t>
    </w:r>
    <w:r>
      <w:rPr>
        <w:rFonts w:hint="eastAsia" w:eastAsia="幼圆"/>
      </w:rPr>
      <w:t>第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14</w:t>
    </w:r>
    <w:r>
      <w:rPr>
        <w:rStyle w:val="PageNumber"/>
      </w:rPr>
      <w:fldChar w:fldCharType="end"/>
    </w:r>
    <w:r>
      <w:rPr>
        <w:rStyle w:val="PageNumber"/>
        <w:rFonts w:hint="eastAsia"/>
      </w:rPr>
      <w:t>页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lineRule="auto" w:line="374" w:before="280" w:after="290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lineRule="auto" w:line="319" w:before="240" w:after="64"/>
      <w:outlineLvl w:val="5"/>
    </w:pPr>
    <w:rPr>
      <w:rFonts w:ascii="Arial" w:hAnsi="Arial" w:eastAsia="黑体;SimHei" w:cs="Arial"/>
      <w:b/>
      <w:bCs/>
      <w:szCs w:val="24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lineRule="auto" w:line="319" w:before="240" w:after="64"/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lineRule="auto" w:line="319" w:before="240" w:after="64"/>
      <w:outlineLvl w:val="7"/>
    </w:pPr>
    <w:rPr>
      <w:rFonts w:ascii="Arial" w:hAnsi="Arial" w:eastAsia="黑体;SimHei" w:cs="Arial"/>
      <w:szCs w:val="24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lineRule="auto" w:line="319" w:before="240" w:after="64"/>
      <w:outlineLvl w:val="8"/>
    </w:pPr>
    <w:rPr>
      <w:rFonts w:ascii="Arial" w:hAnsi="Arial" w:eastAsia="黑体;SimHei" w:cs="Arial"/>
      <w:sz w:val="21"/>
      <w:szCs w:val="21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>
      <w:rFonts w:hint="eastAsia"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hint="eastAsia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hint="eastAsia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5z0">
    <w:name w:val="WW8Num15z0"/>
    <w:qFormat/>
    <w:rPr>
      <w:rFonts w:hint="eastAsia"/>
    </w:rPr>
  </w:style>
  <w:style w:type="character" w:styleId="WW8Num16z0">
    <w:name w:val="WW8Num16z0"/>
    <w:qFormat/>
    <w:rPr>
      <w:rFonts w:hint="eastAsia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" w:hAnsi="Wingdings" w:cs="Wingdings"/>
      <w:sz w:val="20"/>
    </w:rPr>
  </w:style>
  <w:style w:type="character" w:styleId="WW8Num19z0">
    <w:name w:val="WW8Num19z0"/>
    <w:qFormat/>
    <w:rPr>
      <w:rFonts w:ascii="Symbol" w:hAnsi="Symbol" w:cs="Symbol"/>
      <w:sz w:val="20"/>
    </w:rPr>
  </w:style>
  <w:style w:type="character" w:styleId="WW8Num19z1">
    <w:name w:val="WW8Num19z1"/>
    <w:qFormat/>
    <w:rPr>
      <w:rFonts w:ascii="Courier New" w:hAnsi="Courier New" w:cs="Courier New"/>
      <w:sz w:val="20"/>
    </w:rPr>
  </w:style>
  <w:style w:type="character" w:styleId="WW8Num19z2">
    <w:name w:val="WW8Num19z2"/>
    <w:qFormat/>
    <w:rPr>
      <w:rFonts w:ascii="Wingdings" w:hAnsi="Wingdings" w:cs="Wingdings"/>
      <w:sz w:val="20"/>
    </w:rPr>
  </w:style>
  <w:style w:type="character" w:styleId="Style5">
    <w:name w:val="默认段落字体"/>
    <w:qFormat/>
    <w:rPr/>
  </w:style>
  <w:style w:type="character" w:styleId="Style6">
    <w:name w:val="批注引用"/>
    <w:qFormat/>
    <w:rPr>
      <w:i/>
      <w:iCs/>
      <w:color w:val="993366"/>
      <w:szCs w:val="21"/>
    </w:rPr>
  </w:style>
  <w:style w:type="character" w:styleId="PageNumber">
    <w:name w:val="page number"/>
    <w:basedOn w:val="Style5"/>
    <w:rPr/>
  </w:style>
  <w:style w:type="character" w:styleId="Hyperlink">
    <w:name w:val="Hyperlink"/>
    <w:rPr>
      <w:color w:val="0000FF"/>
      <w:u w:val="single"/>
    </w:rPr>
  </w:style>
  <w:style w:type="character" w:styleId="Style7">
    <w:name w:val="索引链接"/>
    <w:qFormat/>
    <w:rPr/>
  </w:style>
  <w:style w:type="paragraph" w:styleId="Style8">
    <w:name w:val="标题样式"/>
    <w:basedOn w:val="Normal"/>
    <w:next w:val="BodyText"/>
    <w:qFormat/>
    <w:pPr>
      <w:widowControl/>
      <w:shd w:fill="B2B2B2" w:val="clear"/>
      <w:autoSpaceDE w:val="false"/>
      <w:spacing w:lineRule="auto" w:line="240"/>
      <w:jc w:val="center"/>
    </w:pPr>
    <w:rPr>
      <w:b/>
      <w:bCs/>
      <w:kern w:val="0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索引"/>
    <w:basedOn w:val="Normal"/>
    <w:qFormat/>
    <w:pPr>
      <w:suppressLineNumbers/>
    </w:pPr>
    <w:rPr>
      <w:rFonts w:cs="Lucida Sans"/>
    </w:rPr>
  </w:style>
  <w:style w:type="paragraph" w:styleId="Style10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Style11">
    <w:name w:val="正文缩进"/>
    <w:basedOn w:val="Normal"/>
    <w:qFormat/>
    <w:pPr>
      <w:spacing w:lineRule="auto" w:line="360"/>
      <w:ind w:firstLine="425" w:start="0" w:end="0"/>
    </w:pPr>
    <w:rPr/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2">
    <w:name w:val="批注文字"/>
    <w:basedOn w:val="Normal"/>
    <w:qFormat/>
    <w:pPr>
      <w:ind w:firstLine="420" w:start="0" w:end="0"/>
      <w:jc w:val="start"/>
    </w:pPr>
    <w:rPr>
      <w:i/>
      <w:iCs/>
      <w:color w:val="0000FF"/>
    </w:rPr>
  </w:style>
  <w:style w:type="paragraph" w:styleId="Style13">
    <w:name w:val="批注主题"/>
    <w:basedOn w:val="Style12"/>
    <w:next w:val="Style12"/>
    <w:qFormat/>
    <w:pPr/>
    <w:rPr>
      <w:b/>
      <w:bCs/>
    </w:rPr>
  </w:style>
  <w:style w:type="paragraph" w:styleId="BodyTextIndent">
    <w:name w:val="Body Text Indent"/>
    <w:basedOn w:val="Normal"/>
    <w:pPr>
      <w:spacing w:lineRule="auto" w:line="360"/>
      <w:ind w:firstLineChars="200" w:startChars="0" w:start="0" w:endChars="0" w:end="0"/>
    </w:pPr>
    <w:rPr>
      <w:szCs w:val="24"/>
    </w:rPr>
  </w:style>
  <w:style w:type="paragraph" w:styleId="2">
    <w:name w:val="正文文本 2"/>
    <w:basedOn w:val="Normal"/>
    <w:qFormat/>
    <w:pPr>
      <w:widowControl/>
      <w:autoSpaceDE w:val="false"/>
      <w:spacing w:lineRule="auto" w:line="240" w:before="0" w:after="120"/>
      <w:jc w:val="start"/>
    </w:pPr>
    <w:rPr>
      <w:kern w:val="0"/>
      <w:sz w:val="20"/>
    </w:rPr>
  </w:style>
  <w:style w:type="paragraph" w:styleId="xl45">
    <w:name w:val="xl45"/>
    <w:basedOn w:val="Normal"/>
    <w:qFormat/>
    <w:pPr>
      <w:widowControl/>
      <w:spacing w:lineRule="auto" w:line="240" w:before="280" w:after="280"/>
      <w:jc w:val="center"/>
      <w:textAlignment w:val="center"/>
    </w:pPr>
    <w:rPr>
      <w:rFonts w:ascii="幼圆" w:hAnsi="幼圆" w:eastAsia="幼圆" w:cs="宋体;SimSun" w:hint="eastAsia"/>
      <w:kern w:val="0"/>
      <w:sz w:val="24"/>
      <w:szCs w:val="24"/>
    </w:rPr>
  </w:style>
  <w:style w:type="paragraph" w:styleId="xl40">
    <w:name w:val="xl40"/>
    <w:basedOn w:val="Normal"/>
    <w:qFormat/>
    <w:pPr>
      <w:widowControl/>
      <w:spacing w:lineRule="auto" w:line="240" w:before="280" w:after="280"/>
      <w:jc w:val="center"/>
      <w:textAlignment w:val="top"/>
    </w:pPr>
    <w:rPr>
      <w:rFonts w:ascii="黑体;SimHei" w:hAnsi="黑体;SimHei" w:eastAsia="黑体;SimHei" w:cs="宋体;SimSun" w:hint="eastAsia"/>
      <w:kern w:val="0"/>
      <w:sz w:val="36"/>
      <w:szCs w:val="36"/>
    </w:rPr>
  </w:style>
  <w:style w:type="paragraph" w:styleId="xl26">
    <w:name w:val="xl26"/>
    <w:basedOn w:val="Normal"/>
    <w:qFormat/>
    <w:pPr>
      <w:widowControl/>
      <w:spacing w:lineRule="auto" w:line="240" w:before="280" w:after="280"/>
      <w:jc w:val="start"/>
      <w:textAlignment w:val="center"/>
    </w:pPr>
    <w:rPr>
      <w:rFonts w:ascii="Courier New" w:hAnsi="Courier New" w:cs="Courier New"/>
      <w:kern w:val="0"/>
      <w:sz w:val="24"/>
      <w:szCs w:val="24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GB2312">
    <w:name w:val="正文 + 楷体_GB2312"/>
    <w:basedOn w:val="Normal"/>
    <w:qFormat/>
    <w:pPr/>
    <w:rPr>
      <w:rFonts w:ascii="幼圆" w:hAnsi="幼圆" w:eastAsia="幼圆"/>
      <w:sz w:val="24"/>
      <w:szCs w:val="24"/>
    </w:rPr>
  </w:style>
  <w:style w:type="paragraph" w:styleId="Style15">
    <w:name w:val="表格内容"/>
    <w:basedOn w:val="Normal"/>
    <w:qFormat/>
    <w:pPr>
      <w:widowControl w:val="false"/>
      <w:suppressLineNumbers/>
    </w:pPr>
    <w:rPr/>
  </w:style>
  <w:style w:type="paragraph" w:styleId="Style16">
    <w:name w:val="表格标题"/>
    <w:basedOn w:val="Style15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image" Target="media/image1.png"/><Relationship Id="rId7" Type="http://schemas.openxmlformats.org/officeDocument/2006/relationships/image" Target="media/image2.emf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详细设计模板.dot</Template>
  <TotalTime>2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2026-09-15T08:07:00Z</dcterms:created>
  <dc:creator>王硕</dc:creator>
  <dc:description>文档编号 D0000-PPC-RA2026-PPD-2026｜版本 V1.1｜2026-09-17</dc:description>
  <cp:keywords/>
  <dc:language>zh-CN</dc:language>
  <cp:lastModifiedBy>王硕</cp:lastModifiedBy>
  <dcterms:modified xsi:type="dcterms:W3CDTF">2026-09-15T08:07:00Z</dcterms:modified>
  <cp:revision>3</cp:revision>
  <dc:subject>RentAgent —— 基于 AI 智能体的房屋租赁系统</dc:subject>
  <dc:title>RentAgent 需求定义说明书</dc:title>
</cp:coreProperties>
</file>