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E70BD">
      <w:pPr>
        <w:pStyle w:val="31"/>
        <w:widowControl/>
      </w:pPr>
      <w:bookmarkStart w:id="0" w:name="_GoBack"/>
      <w:r>
        <w:t>赛题二：基于多维语义相似度的群体性诉求智能发现</w:t>
      </w:r>
    </w:p>
    <w:p w14:paraId="18AC7CE0">
      <w:pPr>
        <w:spacing w:before="0" w:after="0" w:line="520" w:lineRule="exact"/>
        <w:ind w:firstLine="560"/>
      </w:pPr>
    </w:p>
    <w:p w14:paraId="10881EF3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赛题描述：</w:t>
      </w:r>
    </w:p>
    <w:p w14:paraId="7AFF88E8">
      <w:pPr>
        <w:pStyle w:val="19"/>
        <w:widowControl/>
      </w:pPr>
      <w:r>
        <w:rPr>
          <w:b w:val="0"/>
        </w:rPr>
        <w:t>基于工单文本语义、地址空间、实体关联、时间分布等多维信息，对动态工单流中的相似工单完成精准聚类，支持跨时间窗口合并延续性群体诉求，提升识别准确率与推理效率。</w:t>
      </w:r>
    </w:p>
    <w:p w14:paraId="608AB301">
      <w:pPr>
        <w:pStyle w:val="19"/>
        <w:widowControl/>
      </w:pPr>
      <w:r>
        <w:rPr>
          <w:b w:val="0"/>
        </w:rPr>
        <w:t>具体描述为：</w:t>
      </w:r>
    </w:p>
    <w:p w14:paraId="166C8A33">
      <w:pPr>
        <w:pStyle w:val="19"/>
        <w:widowControl/>
        <w:numPr>
          <w:ilvl w:val="0"/>
          <w:numId w:val="8"/>
        </w:numPr>
        <w:topLinePunct w:val="0"/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问题现状：在城市治理数字化进程中，12345热线、政务平台等多渠道每天产生海量市民工单。工单表面是个体诉求，但其中隐藏着大量具有内在关联的“群体性诉求”（简称“群诉”）——同一区域、同一事件、同一主体引发的批量投诉。传统依靠人工筛查和逐级上报的模式存在发现滞后、遗漏率高、归并困难等问题。</w:t>
      </w:r>
    </w:p>
    <w:p w14:paraId="263BA42E">
      <w:pPr>
        <w:pStyle w:val="19"/>
        <w:widowControl/>
        <w:numPr>
          <w:ilvl w:val="0"/>
          <w:numId w:val="8"/>
        </w:numPr>
        <w:topLinePunct w:val="0"/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主要难点：①算法需综合考量工单多维信息（文本语义、地址空间、实体关联、时间分布等），实现相似工单精准聚类；②需支持跨时间窗口的群诉合并，识别具有延续性的同一群体问题，避免同一事件被重复拆分；③在保证准确率的前提下需具备较高推理效率，支撑分钟级实时流式处理或小时级批量处理；④数据特点与挑战：地址信息非标准化、文本口语化严重、群诉规模差异大、跨日时间漂移。</w:t>
      </w:r>
    </w:p>
    <w:p w14:paraId="10F0BDD9">
      <w:pPr>
        <w:pStyle w:val="19"/>
        <w:widowControl/>
        <w:numPr>
          <w:ilvl w:val="0"/>
          <w:numId w:val="8"/>
        </w:numPr>
        <w:topLinePunct w:val="0"/>
        <w:ind w:left="0" w:leftChars="0" w:firstLine="480" w:firstLineChars="0"/>
        <w:rPr>
          <w:b w:val="0"/>
          <w:bdr w:val="none" w:sz="0" w:space="0"/>
        </w:rPr>
      </w:pPr>
      <w:r>
        <w:rPr>
          <w:b w:val="0"/>
        </w:rPr>
        <w:t>期望效果：从分散个体工单中自动、准确、及时地识别和归并群体性诉求，提升城市治理精细化水平。【非最终版本，仅供参考！！】</w:t>
      </w:r>
    </w:p>
    <w:p w14:paraId="04C28F56">
      <w:pPr>
        <w:spacing w:before="0" w:after="0" w:line="520" w:lineRule="exact"/>
        <w:ind w:firstLine="560"/>
      </w:pPr>
    </w:p>
    <w:p w14:paraId="2B385CD4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数据信息：</w:t>
      </w:r>
    </w:p>
    <w:p w14:paraId="4DAF50DF">
      <w:pPr>
        <w:pStyle w:val="4"/>
        <w:widowControl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配套数据资源情况</w:t>
      </w:r>
    </w:p>
    <w:p w14:paraId="453201BA">
      <w:pPr>
        <w:pStyle w:val="19"/>
        <w:widowControl/>
      </w:pPr>
      <w:r>
        <w:rPr>
          <w:b w:val="0"/>
        </w:rPr>
        <w:t>数据集名称： 历史市民工单数据（训练）+ 连续 N （自行脱敏）天工单流水数据（测试）</w:t>
      </w:r>
    </w:p>
    <w:p w14:paraId="0A8E47CF">
      <w:pPr>
        <w:pStyle w:val="19"/>
        <w:widowControl/>
      </w:pPr>
      <w:r>
        <w:rPr>
          <w:b w:val="0"/>
        </w:rPr>
        <w:t>数据来源：自行采集</w:t>
      </w:r>
    </w:p>
    <w:p w14:paraId="1ADB8EB9">
      <w:pPr>
        <w:pStyle w:val="4"/>
        <w:widowControl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数据说明</w:t>
      </w:r>
    </w:p>
    <w:p w14:paraId="2370D059">
      <w:pPr>
        <w:pStyle w:val="19"/>
        <w:widowControl/>
      </w:pPr>
      <w:r>
        <w:rPr>
          <w:b w:val="0"/>
        </w:rPr>
        <w:t>数据字段：训练数据：事件标题(title)、事件内容(major_content)、事发地址(address)、推送时间(push_time)、问题分类(question_name，三级标签)、承办单位(office_name)、办理状态(order_status)；部分工单已人工标注所属群体性诉求 ID (GID)。测试数据：字段同训练数据，但不含 GID 标注。参赛者需对测试数据中的工单进行聚类，输出每条工单对应的群诉 ID（或判定为不属于任何群诉）。</w:t>
      </w:r>
    </w:p>
    <w:p w14:paraId="48C22378">
      <w:pPr>
        <w:pStyle w:val="19"/>
        <w:widowControl/>
      </w:pPr>
      <w:r>
        <w:rPr>
          <w:b w:val="0"/>
        </w:rPr>
        <w:t>数据量：训练数据约 X 万条历史工单，涵盖城管、物业、交通、环保等多类民生问题；测试数据为连续 N 天工单流水（具体 N 与 X 由赛题单位公布）。</w:t>
      </w:r>
    </w:p>
    <w:p w14:paraId="3BF1EE6A">
      <w:pPr>
        <w:pStyle w:val="19"/>
        <w:widowControl/>
      </w:pPr>
      <w:r>
        <w:rPr>
          <w:b w:val="0"/>
        </w:rPr>
        <w:t>数据特点：地址非标准化、文本口语化、群诉规模差异大、跨日时间漂移。</w:t>
      </w:r>
    </w:p>
    <w:p w14:paraId="7EAA575D">
      <w:pPr>
        <w:pStyle w:val="19"/>
        <w:widowControl/>
      </w:pPr>
      <w:r>
        <w:rPr>
          <w:b w:val="0"/>
        </w:rPr>
        <w:t>数据使用方式：不可公开下载（依托数智北京创新中心使用）。</w:t>
      </w:r>
    </w:p>
    <w:p w14:paraId="18F1A42F">
      <w:pPr>
        <w:spacing w:before="0" w:after="0" w:line="520" w:lineRule="exact"/>
        <w:ind w:firstLine="560"/>
      </w:pPr>
    </w:p>
    <w:p w14:paraId="448D8C4E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宋体" w:hAnsi="宋体" w:eastAsia="宋体" w:cs="宋体"/>
          <w:b/>
          <w:bdr w:val="none" w:sz="0" w:space="0"/>
        </w:rPr>
      </w:pPr>
      <w:r>
        <w:t>评价指标：</w:t>
      </w:r>
    </w:p>
    <w:p w14:paraId="1BFCCCFC">
      <w:pPr>
        <w:pStyle w:val="19"/>
        <w:widowControl/>
      </w:pPr>
      <w:r>
        <w:rPr>
          <w:b w:val="0"/>
        </w:rPr>
        <w:t>总分100分 = 客观分40分 + 主观分60分，两部分评分标准分开设定。</w:t>
      </w:r>
    </w:p>
    <w:p w14:paraId="787146C8">
      <w:pPr>
        <w:pStyle w:val="19"/>
        <w:widowControl/>
      </w:pPr>
      <w:r>
        <w:rPr>
          <w:b w:val="0"/>
        </w:rPr>
        <w:t>【非最终版本，仅供参考！！】</w:t>
      </w:r>
    </w:p>
    <w:p w14:paraId="0207FAF3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客观分（40分）</w:t>
      </w:r>
    </w:p>
    <w:p w14:paraId="4704BBDF">
      <w:pPr>
        <w:pStyle w:val="19"/>
        <w:widowControl/>
      </w:pPr>
      <w:r>
        <w:rPr>
          <w:b w:val="0"/>
        </w:rPr>
        <w:t>依据项目实际落地运行数据、成果等真实产出进行量化打分（模型效果指标）。</w:t>
      </w:r>
    </w:p>
    <w:tbl>
      <w:tblPr>
        <w:tblStyle w:val="32"/>
        <w:tblW w:w="4998" w:type="pct"/>
        <w:tblInd w:w="0" w:type="dxa"/>
        <w:tblBorders>
          <w:top w:val="single" w:color="1F1F1F" w:sz="12" w:space="0"/>
          <w:left w:val="none" w:color="auto" w:sz="0" w:space="0"/>
          <w:bottom w:val="single" w:color="1F1F1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1038"/>
        <w:gridCol w:w="6024"/>
      </w:tblGrid>
      <w:tr w14:paraId="6EE840FF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  <w:shd w:val="clear" w:color="auto" w:fill="F2F0EB"/>
          </w:tcPr>
          <w:p w14:paraId="451C5A18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评价维度</w:t>
            </w:r>
          </w:p>
        </w:tc>
        <w:tc>
          <w:tcPr>
            <w:tcW w:w="609" w:type="pct"/>
            <w:shd w:val="clear" w:color="auto" w:fill="F2F0EB"/>
          </w:tcPr>
          <w:p w14:paraId="2B009E2A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分值占比</w:t>
            </w:r>
          </w:p>
        </w:tc>
        <w:tc>
          <w:tcPr>
            <w:tcW w:w="3535" w:type="pct"/>
            <w:shd w:val="clear" w:color="auto" w:fill="F2F0EB"/>
          </w:tcPr>
          <w:p w14:paraId="0F84315F">
            <w:pPr>
              <w:spacing w:before="0" w:after="0" w:line="520" w:lineRule="exact"/>
              <w:ind w:firstLine="5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具体评分规则</w:t>
            </w:r>
          </w:p>
        </w:tc>
      </w:tr>
      <w:tr w14:paraId="5BFAFA84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pct"/>
          </w:tcPr>
          <w:p w14:paraId="1509123D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模型效果（客观评测）</w:t>
            </w:r>
          </w:p>
        </w:tc>
        <w:tc>
          <w:tcPr>
            <w:tcW w:w="609" w:type="pct"/>
          </w:tcPr>
          <w:p w14:paraId="41E5F989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40</w:t>
            </w:r>
          </w:p>
        </w:tc>
        <w:tc>
          <w:tcPr>
            <w:tcW w:w="3535" w:type="pct"/>
          </w:tcPr>
          <w:p w14:paraId="37A965D8">
            <w:p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①群诉识别 F1-score（20分）：以工单-群诉归属结果计算宏平均 F1；②跨日合并准确率（10分）：评估跨时间窗口的同一群诉是否被正确合并；③最小成诉敏感度（10分）：对 3~5 件小规模群诉的召回能力，评估模型对小规模、早期群诉事件的发现能力。</w:t>
            </w:r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 xml:space="preserve"> 对于真实群诉事件 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8"/>
                    </w:rPr>
                    <m:t>T</m:t>
                  </m: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 xml:space="preserve">​ 与模型识别结果 </w:t>
            </w: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8"/>
                    </w:rPr>
                    <m:t>P</m:t>
                  </m: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>​，定义群诉覆盖率为：</w:t>
            </w:r>
          </w:p>
          <w:p w14:paraId="1CEC58FD">
            <w:p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8"/>
                  </w:rPr>
                  <m:t>Coverag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28"/>
                  </w:rPr>
                  <m:t>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|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∩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|</m:t>
                    </m: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|</m:t>
                    </m:r>
                    <m:sSub>
                      <m:sSubP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T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|</m:t>
                    </m: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den>
                </m:f>
              </m:oMath>
            </m:oMathPara>
          </w:p>
          <w:p w14:paraId="5155B6C4">
            <w:pPr>
              <w:ind w:left="0" w:leftChars="0" w:firstLine="42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>当覆盖率满足：</w:t>
            </w:r>
          </w:p>
          <w:p w14:paraId="51278AC5">
            <w:p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8"/>
                  </w:rPr>
                  <m:t>Coverag</m:t>
                </m:r>
                <m:sSub>
                  <m:sSubP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e</m:t>
                    </m: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i</m:t>
                    </m: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sub>
                </m:sSub>
                <m:r>
                  <m:rPr/>
                  <w:rPr>
                    <w:rFonts w:hint="eastAsia" w:ascii="Cambria Math" w:hAnsi="Cambria Math" w:eastAsia="微软雅黑" w:cs="微软雅黑"/>
                    <w:sz w:val="28"/>
                  </w:rPr>
                  <m:t>≥0.8</m:t>
                </m:r>
              </m:oMath>
            </m:oMathPara>
          </w:p>
          <w:p w14:paraId="13025219">
            <w:pPr>
              <w:ind w:left="0" w:leftChars="0" w:firstLine="42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>时，认为该群诉事件被成功识别。</w:t>
            </w:r>
          </w:p>
          <w:p w14:paraId="2F940A96">
            <w:pPr>
              <w:ind w:left="0" w:leftChars="0" w:firstLine="42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>最小成诉敏感度定义为：</w:t>
            </w:r>
          </w:p>
          <w:p w14:paraId="057B4CBC">
            <w:p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微软雅黑" w:cs="微软雅黑"/>
                    <w:sz w:val="28"/>
                  </w:rPr>
                  <m:t>MGS=</m:t>
                </m:r>
                <m:f>
                  <m:fP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i=1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sup>
                      <m:e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I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e>
                    </m:nary>
                    <m:d>
                      <m:dP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eastAsia" w:ascii="Cambria Math" w:hAnsi="Cambria Math" w:eastAsia="微软雅黑" w:cs="微软雅黑"/>
                                <w:sz w:val="28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2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  <m:t>T</m:t>
                                </m: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  <m:t>i</m:t>
                                </m: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28"/>
                              </w:rPr>
                              <m:t>∩</m:t>
                            </m:r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  <m:t>P</m:t>
                                </m: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  <m:t>i</m:t>
                                </m: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28"/>
                              </w:rPr>
                              <m:t>|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28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28"/>
                              </w:rPr>
                              <m:t>|</m:t>
                            </m:r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  <m:t>T</m:t>
                                </m: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  <m:t>i</m:t>
                                </m:r>
                                <m:ctrlPr>
                                  <w:rPr>
                                    <w:rFonts w:hint="eastAsia" w:ascii="Cambria Math" w:hAnsi="Cambria Math" w:eastAsia="微软雅黑" w:cs="微软雅黑"/>
                                    <w:sz w:val="28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hint="eastAsia" w:ascii="Cambria Math" w:hAnsi="Cambria Math" w:eastAsia="微软雅黑" w:cs="微软雅黑"/>
                                <w:sz w:val="28"/>
                              </w:rPr>
                              <m:t>|</m:t>
                            </m:r>
                            <m:ctrlPr>
                              <w:rPr>
                                <w:rFonts w:hint="eastAsia" w:ascii="Cambria Math" w:hAnsi="Cambria Math" w:eastAsia="微软雅黑" w:cs="微软雅黑"/>
                                <w:sz w:val="28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  <m:t>≥0.8</m:t>
                        </m:r>
                        <m:ctrlPr>
                          <w:rPr>
                            <w:rFonts w:hint="eastAsia" w:ascii="Cambria Math" w:hAnsi="Cambria Math" w:eastAsia="微软雅黑" w:cs="微软雅黑"/>
                            <w:sz w:val="28"/>
                          </w:rPr>
                        </m:ctrlPr>
                      </m:e>
                    </m:d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微软雅黑" w:cs="微软雅黑"/>
                        <w:sz w:val="28"/>
                      </w:rPr>
                      <m:t>N</m:t>
                    </m:r>
                    <m:ctrlPr>
                      <w:rPr>
                        <w:rFonts w:hint="eastAsia" w:ascii="Cambria Math" w:hAnsi="Cambria Math" w:eastAsia="微软雅黑" w:cs="微软雅黑"/>
                        <w:sz w:val="28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="微软雅黑" w:cs="微软雅黑"/>
                    <w:sz w:val="28"/>
                  </w:rPr>
                  <m:t>​</m:t>
                </m:r>
              </m:oMath>
            </m:oMathPara>
          </w:p>
          <w:p w14:paraId="1DE36AC1">
            <w:pPr>
              <w:ind w:left="0" w:leftChars="0" w:firstLine="42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>其中：</w:t>
            </w:r>
          </w:p>
          <w:p w14:paraId="58C65FC0">
            <w:pPr>
              <w:ind w:left="0" w:leftChars="0" w:firstLine="42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m:oMath>
              <m:r>
                <m:rPr/>
                <w:rPr>
                  <w:rFonts w:hint="eastAsia" w:ascii="Cambria Math" w:hAnsi="Cambria Math" w:eastAsia="微软雅黑" w:cs="微软雅黑"/>
                  <w:sz w:val="28"/>
                </w:rPr>
                <m:t>N</m:t>
              </m:r>
            </m:oMath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 xml:space="preserve">为真实存在的3～5件规模群诉事件总数； </w:t>
            </w:r>
          </w:p>
          <w:p w14:paraId="1A211FD3">
            <w:pPr>
              <w:ind w:left="0" w:leftChars="0" w:firstLine="42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8"/>
                    </w:rPr>
                    <m:t>T</m:t>
                  </m: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>为第</w:t>
            </w:r>
            <m:oMath>
              <m:r>
                <m:rPr/>
                <w:rPr>
                  <w:rFonts w:hint="eastAsia" w:ascii="Cambria Math" w:hAnsi="Cambria Math" w:eastAsia="微软雅黑" w:cs="微软雅黑"/>
                  <w:sz w:val="28"/>
                </w:rPr>
                <m:t>i</m:t>
              </m:r>
            </m:oMath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 xml:space="preserve">个真实群诉事件包含的工单集合； </w:t>
            </w:r>
          </w:p>
          <w:p w14:paraId="0CED1C83">
            <w:pPr>
              <w:ind w:left="0" w:leftChars="0" w:firstLine="42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m:oMath>
              <m:sSub>
                <m:sSubP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微软雅黑" w:cs="微软雅黑"/>
                      <w:sz w:val="28"/>
                    </w:rPr>
                    <m:t>P</m:t>
                  </m: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微软雅黑" w:cs="微软雅黑"/>
                      <w:sz w:val="28"/>
                    </w:rPr>
                    <m:t>i</m:t>
                  </m:r>
                  <m:ctrlPr>
                    <w:rPr>
                      <w:rFonts w:hint="eastAsia" w:ascii="Cambria Math" w:hAnsi="Cambria Math" w:eastAsia="微软雅黑" w:cs="微软雅黑"/>
                      <w:sz w:val="28"/>
                    </w:rPr>
                  </m:ctrlPr>
                </m:sub>
              </m:sSub>
            </m:oMath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 xml:space="preserve">为模型识别出的对应群诉集合； </w:t>
            </w:r>
          </w:p>
          <w:p w14:paraId="1DCB6C26">
            <w:pPr>
              <w:ind w:left="0" w:leftChars="0" w:firstLine="420" w:firstLineChars="0"/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</w:pPr>
            <m:oMath>
              <m:r>
                <m:rPr/>
                <w:rPr>
                  <w:rFonts w:hint="eastAsia" w:ascii="Cambria Math" w:hAnsi="Cambria Math" w:eastAsia="微软雅黑" w:cs="微软雅黑"/>
                  <w:sz w:val="28"/>
                </w:rPr>
                <m:t>I(⋅)</m:t>
              </m:r>
            </m:oMath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 xml:space="preserve">为指示函数，当条件成立时取1，否则取0。 </w:t>
            </w:r>
          </w:p>
          <w:p w14:paraId="371A07AB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>指标取值范围为</w:t>
            </w:r>
            <m:oMath>
              <m:r>
                <m:rPr/>
                <w:rPr>
                  <w:rFonts w:hint="eastAsia" w:ascii="Cambria Math" w:hAnsi="Cambria Math" w:eastAsia="微软雅黑" w:cs="微软雅黑"/>
                  <w:sz w:val="28"/>
                </w:rPr>
                <m:t>[0,1]</m:t>
              </m:r>
            </m:oMath>
            <w:r>
              <w:rPr>
                <w:rFonts w:hint="eastAsia" w:ascii="微软雅黑" w:hAnsi="微软雅黑" w:eastAsia="微软雅黑" w:cs="微软雅黑"/>
                <w:sz w:val="28"/>
                <w:szCs w:val="21"/>
                <w:lang w:val="en-US" w:eastAsia="zh-CN"/>
              </w:rPr>
              <w:t>，数值越高表示模型对小规模、早期群诉事件的发现能力越强。</w:t>
            </w:r>
          </w:p>
        </w:tc>
      </w:tr>
    </w:tbl>
    <w:p w14:paraId="0BE30C4E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微软雅黑" w:hAnsi="微软雅黑" w:eastAsia="微软雅黑" w:cs="微软雅黑"/>
          <w:b w:val="0"/>
          <w:bdr w:val="none" w:sz="0" w:space="0"/>
        </w:rPr>
      </w:pPr>
      <w:r>
        <w:rPr>
          <w:rFonts w:hint="eastAsia" w:ascii="微软雅黑" w:hAnsi="微软雅黑" w:eastAsia="微软雅黑" w:cs="微软雅黑"/>
        </w:rPr>
        <w:t>主观分（60分）</w:t>
      </w:r>
    </w:p>
    <w:tbl>
      <w:tblPr>
        <w:tblStyle w:val="32"/>
        <w:tblW w:w="4998" w:type="pct"/>
        <w:tblInd w:w="0" w:type="dxa"/>
        <w:tblBorders>
          <w:top w:val="single" w:color="1F1F1F" w:sz="12" w:space="0"/>
          <w:left w:val="none" w:color="auto" w:sz="0" w:space="0"/>
          <w:bottom w:val="single" w:color="1F1F1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1019"/>
        <w:gridCol w:w="6058"/>
      </w:tblGrid>
      <w:tr w14:paraId="011036DA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pct"/>
            <w:shd w:val="clear" w:color="auto" w:fill="F2F0EB"/>
          </w:tcPr>
          <w:p w14:paraId="5580877F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评价维度</w:t>
            </w:r>
          </w:p>
        </w:tc>
        <w:tc>
          <w:tcPr>
            <w:tcW w:w="598" w:type="pct"/>
            <w:shd w:val="clear" w:color="auto" w:fill="F2F0EB"/>
          </w:tcPr>
          <w:p w14:paraId="3EBEAB5E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分值占比</w:t>
            </w:r>
          </w:p>
        </w:tc>
        <w:tc>
          <w:tcPr>
            <w:tcW w:w="3555" w:type="pct"/>
            <w:shd w:val="clear" w:color="auto" w:fill="F2F0EB"/>
          </w:tcPr>
          <w:p w14:paraId="051267AB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具体评分规则</w:t>
            </w:r>
          </w:p>
        </w:tc>
      </w:tr>
      <w:tr w14:paraId="019C16A0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pct"/>
          </w:tcPr>
          <w:p w14:paraId="053B7CB1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算法创新性（专家）</w:t>
            </w:r>
          </w:p>
        </w:tc>
        <w:tc>
          <w:tcPr>
            <w:tcW w:w="598" w:type="pct"/>
          </w:tcPr>
          <w:p w14:paraId="25F0D256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20</w:t>
            </w:r>
          </w:p>
        </w:tc>
        <w:tc>
          <w:tcPr>
            <w:tcW w:w="3555" w:type="pct"/>
          </w:tcPr>
          <w:p w14:paraId="21079861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①特征设计与相似度度量创新（10分）；②聚类策略与动态阈值设计（10分）。</w:t>
            </w:r>
          </w:p>
        </w:tc>
      </w:tr>
      <w:tr w14:paraId="1FD30095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pct"/>
          </w:tcPr>
          <w:p w14:paraId="79E79FCF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成果实用性（专家）</w:t>
            </w:r>
          </w:p>
        </w:tc>
        <w:tc>
          <w:tcPr>
            <w:tcW w:w="598" w:type="pct"/>
          </w:tcPr>
          <w:p w14:paraId="5A830B0E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25</w:t>
            </w:r>
          </w:p>
        </w:tc>
        <w:tc>
          <w:tcPr>
            <w:tcW w:w="3555" w:type="pct"/>
          </w:tcPr>
          <w:p w14:paraId="5F4286CF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①方案在实际业务场景中的可落地性（10分）；②模型推理效率与资源占用（10分）：单条工单平均处理耗时不超过 500ms；③结果可解释性（5分）：能否清晰说明工单被归并的原因。</w:t>
            </w:r>
          </w:p>
        </w:tc>
      </w:tr>
      <w:tr w14:paraId="6723C8BC">
        <w:tblPrEx>
          <w:tblBorders>
            <w:top w:val="single" w:color="1F1F1F" w:sz="12" w:space="0"/>
            <w:left w:val="none" w:color="auto" w:sz="0" w:space="0"/>
            <w:bottom w:val="single" w:color="1F1F1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pct"/>
          </w:tcPr>
          <w:p w14:paraId="4BDA392F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成果完整性（专家）</w:t>
            </w:r>
          </w:p>
        </w:tc>
        <w:tc>
          <w:tcPr>
            <w:tcW w:w="598" w:type="pct"/>
          </w:tcPr>
          <w:p w14:paraId="52DC4FD3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15</w:t>
            </w:r>
          </w:p>
        </w:tc>
        <w:tc>
          <w:tcPr>
            <w:tcW w:w="3555" w:type="pct"/>
          </w:tcPr>
          <w:p w14:paraId="2A9D710A">
            <w:pPr>
              <w:spacing w:before="0" w:after="0" w:line="52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</w:rPr>
              <w:t>①代码规范、文档完整度（8分）；②答辩与演示效果（7分）。</w:t>
            </w:r>
          </w:p>
        </w:tc>
      </w:tr>
    </w:tbl>
    <w:p w14:paraId="61FB920E">
      <w:pPr>
        <w:pStyle w:val="19"/>
        <w:widowControl/>
        <w:rPr>
          <w:rFonts w:hint="eastAsia" w:cs="Times New Roman"/>
          <w:b w:val="0"/>
          <w:lang w:eastAsia="zh-CN"/>
        </w:rPr>
      </w:pPr>
      <w:r>
        <w:rPr>
          <w:rFonts w:hint="eastAsia" w:cs="Times New Roman"/>
          <w:b w:val="0"/>
          <w:lang w:eastAsia="zh-CN"/>
        </w:rPr>
        <w:t>评测方式：初赛本地开发，提交预测结果文件（CSV，含 order_id 与 gid）；复赛提交完整代码包，现场答辩。</w:t>
      </w:r>
    </w:p>
    <w:p w14:paraId="27C3D9F6">
      <w:pPr>
        <w:pStyle w:val="19"/>
        <w:widowControl/>
        <w:rPr>
          <w:rFonts w:hint="eastAsia" w:cs="Times New Roman"/>
          <w:b w:val="0"/>
          <w:lang w:val="en-US" w:eastAsia="zh-CN"/>
        </w:rPr>
      </w:pPr>
      <w:r>
        <w:rPr>
          <w:rFonts w:hint="eastAsia" w:cs="Times New Roman"/>
          <w:b w:val="0"/>
          <w:lang w:val="en-US" w:eastAsia="zh-CN"/>
        </w:rPr>
        <w:t>成果要求：①完整算法模型源代码及依赖环境说明（可复现、可运行）；②详细技术方案文档；③测试集上的运行结果及性能分析报告；④鼓励创新性方案：引入大语言模型进行实体抽取与语义增强、可解释性模块、动态阈值策略等。【非最终版本，仅供参考！！】</w:t>
      </w:r>
    </w:p>
    <w:p w14:paraId="09968500">
      <w:pPr>
        <w:pStyle w:val="19"/>
        <w:widowControl/>
        <w:rPr>
          <w:rFonts w:cs="Times New Roman"/>
          <w:b w:val="0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BE0E5"/>
    <w:multiLevelType w:val="singleLevel"/>
    <w:tmpl w:val="9DDBE0E5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">
    <w:nsid w:val="E37A7861"/>
    <w:multiLevelType w:val="singleLevel"/>
    <w:tmpl w:val="E37A7861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74374C5"/>
    <w:multiLevelType w:val="singleLevel"/>
    <w:tmpl w:val="274374C5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9">
    <w:nsid w:val="5B755D07"/>
    <w:multiLevelType w:val="singleLevel"/>
    <w:tmpl w:val="5B755D0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9"/>
  </w:num>
  <w:num w:numId="8">
    <w:abstractNumId w:val="8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E54F7B"/>
    <w:rsid w:val="681A7329"/>
    <w:rsid w:val="76F4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8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jc w:val="both"/>
      <w:outlineLvl w:val="0"/>
    </w:pPr>
    <w:rPr>
      <w:rFonts w:ascii="Calibri" w:hAnsi="Calibri" w:eastAsia="宋体" w:cs="Times New Roman"/>
      <w:b/>
      <w:bCs/>
      <w:kern w:val="2"/>
      <w:sz w:val="28"/>
      <w:szCs w:val="21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widowControl w:val="0"/>
      <w:spacing w:line="520" w:lineRule="exact"/>
      <w:jc w:val="both"/>
      <w:outlineLvl w:val="1"/>
    </w:pPr>
    <w:rPr>
      <w:rFonts w:ascii="Calibri" w:hAnsi="Calibri" w:eastAsia="宋体" w:cs="Times New Roman"/>
      <w:kern w:val="2"/>
      <w:sz w:val="28"/>
      <w:szCs w:val="21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widowControl w:val="0"/>
      <w:ind w:firstLine="490" w:firstLineChars="200"/>
      <w:jc w:val="both"/>
      <w:outlineLvl w:val="9"/>
    </w:pPr>
    <w:rPr>
      <w:rFonts w:ascii="微软雅黑" w:hAnsi="Calibri" w:eastAsia="微软雅黑" w:cs="Times New Roman"/>
      <w:spacing w:val="0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 w:val="0"/>
      <w:jc w:val="center"/>
      <w:outlineLvl w:val="9"/>
    </w:pPr>
    <w:rPr>
      <w:rFonts w:ascii="Calibri" w:hAnsi="Calibri" w:eastAsia="宋体" w:cs="Times New Roman"/>
      <w:b/>
      <w:bCs/>
      <w:kern w:val="2"/>
      <w:sz w:val="28"/>
      <w:szCs w:val="21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1429</Words>
  <Characters>1559</Characters>
  <Lines>0</Lines>
  <Paragraphs>0</Paragraphs>
  <TotalTime>1</TotalTime>
  <ScaleCrop>false</ScaleCrop>
  <LinksUpToDate>false</LinksUpToDate>
  <CharactersWithSpaces>1599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陈海涛</cp:lastModifiedBy>
  <dcterms:modified xsi:type="dcterms:W3CDTF">2026-08-04T10:33:34Z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eyJoZGlkIjoiNjc3NTM3OTI1MGYxMTE4YjhkNWVmZWYxNmZhZGJiNzAiLCJ1c2VySWQiOiIyMTQ2NTc5NjgifQ==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FB91192832DE4E56869D9906F910E57C_12</vt:lpwstr>
  </property>
</Properties>
</file>