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wps="http://schemas.microsoft.com/office/word/2010/wordprocessingShape" xmlns:pic="http://schemas.openxmlformats.org/drawingml/2006/picture" xmlns:a="http://schemas.openxmlformats.org/drawingml/2006/main" xmlns:mc="http://schemas.openxmlformats.org/markup-compatibility/2006" mc:Ignorable="w14 wps">
  <w:body>
    <w:p w14:paraId="21F58126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62684DAB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5678822B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  <w:r>
        <w:rPr>
          <w:rFonts w:ascii="Times New Roman" w:hAnsi="Times New Roman" w:eastAsia="黑体" w:cs="Times New Roman"/>
          <w:b w:val="1"/>
          <w:bCs w:val="1"/>
          <w:noProof w:val="1"/>
          <w:sz w:val="44"/>
        </w:rPr>
        <w:drawing>
          <wp:inline distT="0" distB="0" distL="0" distR="0">
            <wp:extent cx="1608667" cy="762000"/>
            <wp:effectExtent l="0" t="0" r="0" b="0"/>
            <wp:docPr id="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667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65D4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5A35EB70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  <w:r>
        <w:rPr>
          <w:rFonts w:hint="eastAsia" w:ascii="Times New Roman" w:hAnsi="Times New Roman" w:eastAsia="黑体" w:cs="Times New Roman"/>
          <w:b w:val="1"/>
          <w:bCs w:val="1"/>
          <w:sz w:val="44"/>
        </w:rPr>
        <w:t>“华彩杯”算力创新应用大赛</w:t>
      </w:r>
    </w:p>
    <w:p w14:paraId="3275F771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620AA0A3">
      <w:pPr>
        <w:pStyle w:val="000016"/>
        <w:outlineLvl w:val="0"/>
      </w:pPr>
      <w:r>
        <w:rPr>
          <w:rFonts w:hint="eastAsia"/>
        </w:rPr>
        <w:t>项目申报参考模板</w:t>
      </w:r>
    </w:p>
    <w:p w14:paraId="7FEEF29D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4C9CD165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7A799D0C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5FCD68C9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50860B25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11BA1D78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7731EDCC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3474C874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66687992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510CCEE6">
      <w:pPr>
        <w:adjustRightInd w:val="0"/>
        <w:snapToGrid w:val="0"/>
        <w:spacing w:line="360" w:lineRule="auto"/>
        <w:jc w:val="center"/>
        <w:rPr>
          <w:rFonts w:ascii="Times New Roman" w:hAnsi="Times New Roman" w:eastAsia="黑体" w:cs="Times New Roman"/>
          <w:sz w:val="30"/>
          <w:szCs w:val="30"/>
        </w:rPr>
      </w:pPr>
      <w:bookmarkStart w:id="1" w:name="img_00001"/>
      <w:bookmarkEnd w:id="1"/>
      <w:bookmarkStart w:id="2" w:name="barcode"/>
      <w:bookmarkEnd w:id="2"/>
      <w:r>
        <w:rPr>
          <w:rFonts w:hint="eastAsia" w:ascii="Times New Roman" w:hAnsi="Times New Roman" w:eastAsia="黑体" w:cs="Times New Roman"/>
          <w:sz w:val="30"/>
          <w:szCs w:val="30"/>
        </w:rPr>
        <w:t>“华彩杯”算力创新应用大赛组委会制</w:t>
      </w:r>
    </w:p>
    <w:p w14:paraId="4A00A911">
      <w:pPr>
        <w:adjustRightInd w:val="0"/>
        <w:snapToGrid w:val="0"/>
        <w:spacing w:line="360" w:lineRule="auto"/>
        <w:jc w:val="center"/>
        <w:rPr>
          <w:rFonts w:ascii="Times New Roman" w:hAnsi="Times New Roman" w:eastAsia="黑体" w:cs="Times New Roman"/>
          <w:sz w:val="30"/>
          <w:szCs w:val="30"/>
        </w:rPr>
      </w:pPr>
      <w:r>
        <w:rPr>
          <w:rFonts w:hint="eastAsia" w:ascii="Times New Roman" w:hAnsi="Times New Roman" w:eastAsia="黑体" w:cs="Times New Roman"/>
          <w:sz w:val="30"/>
          <w:szCs w:val="30"/>
        </w:rPr>
        <w:t>二〇二六年</w:t>
      </w:r>
    </w:p>
    <w:p w14:paraId="736A26DE">
      <w:pPr>
        <w:pStyle w:val="00000d"/>
      </w:pPr>
      <w:r>
        <w:br w:type="page"/>
      </w:r>
    </w:p>
    <w:p w14:paraId="4A620045">
      <w:pPr>
        <w:pStyle w:val="000009"/>
      </w:pPr>
      <w:r>
        <w:rPr>
          <w:rFonts w:hint="eastAsia"/>
        </w:rPr>
        <w:t>第一部分：申报说明</w:t>
      </w:r>
    </w:p>
    <w:p w14:paraId="2CB12704">
      <w:pPr>
        <w:pStyle w:val="00000d"/>
        <w:rPr>
          <w:sz w:val="22"/>
          <w:szCs w:val="24"/>
        </w:rPr>
      </w:pPr>
      <w:r>
        <w:rPr>
          <w:noProof w:val="1"/>
          <w:lang w:bidi="bo-CN"/>
        </w:rPr>
        <w:drawing>
          <wp:inline distT="0" distB="0" distL="0" distR="0">
            <wp:extent cx="5220000" cy="648000"/>
            <wp:effectExtent l="0" t="0" r="19050" b="19050"/>
            <wp:docPr id="5" name="文本框 1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5220000" cy="648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prstDash val="dash"/>
                      <a:miter lim="800000"/>
                    </a:ln>
                    <a:effectLst/>
                  </wps:spPr>
                  <wps:txbx>
                    <w:txbxContent>
                      <w:p w14:paraId="378C5A8D">
                        <w:pPr>
                          <w:snapToGrid w:val="0"/>
                          <w:spacing w:line="312" w:lineRule="auto"/>
                          <w:jc w:val="left"/>
                          <w:rPr>
                            <w:rFonts w:hint="eastAsia" w:ascii="黑体" w:hAnsi="黑体" w:eastAsia="黑体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黑体" w:hAnsi="黑体" w:eastAsia="黑体"/>
                            <w:sz w:val="32"/>
                            <w:szCs w:val="32"/>
                          </w:rPr>
                          <w:t>《项目申报参考模板》仅用于辅助准备项目信息，正式申报请通过 桌面版客户端 注册填报。</w:t>
                        </w:r>
                      </w:p>
                    </w:txbxContent>
                  </wps:txbx>
                  <wps:bodyPr rot="0" vertOverflow="clip" horzOverflow="clip" vert="horz" wrap="square" lIns="0" tIns="0" rIns="0" bIns="0" anchor="t" anchorCtr="0" upright="1">
                    <a:noAutofit/>
                  </wps:bodyPr>
                </wps:wsp>
              </a:graphicData>
            </a:graphic>
          </wp:inline>
        </w:drawing>
      </w:r>
    </w:p>
    <w:p w14:paraId="61725E7D">
      <w:pPr>
        <w:widowControl w:val="1"/>
        <w:spacing w:line="360" w:lineRule="auto"/>
        <w:ind w:firstLine="482" w:firstLineChars="200"/>
        <w:jc w:val="left"/>
        <w:rPr>
          <w:rFonts w:hint="eastAsia" w:ascii="黑体" w:hAnsi="黑体" w:eastAsia="黑体" w:cs="Times New Roman"/>
          <w:b w:val="1"/>
          <w:bCs w:val="1"/>
          <w:sz w:val="24"/>
          <w:szCs w:val="22"/>
        </w:rPr>
      </w:pPr>
      <w:r>
        <w:rPr>
          <w:rFonts w:hint="eastAsia" w:ascii="黑体" w:hAnsi="黑体" w:eastAsia="黑体" w:cs="Times New Roman"/>
          <w:b w:val="1"/>
          <w:bCs w:val="1"/>
          <w:sz w:val="24"/>
          <w:szCs w:val="22"/>
        </w:rPr>
        <w:t>本模板适用于：技术通道 和 专题通道。</w:t>
      </w:r>
    </w:p>
    <w:p w14:paraId="23329707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《申报书》是评审的基础文件和主要依据。请根据相关要求，并按照申报书规定的格式、栏目及所列标题的要求认真填写内容以及签字用印。注意事项如下：</w:t>
      </w:r>
    </w:p>
    <w:p w14:paraId="1D453503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一、申报项目不得填写涉及国家秘密的内容。</w:t>
      </w:r>
    </w:p>
    <w:p w14:paraId="030F7B33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二、项目方案可由一家单位提出，也可以由多家单位（最多三家）联合提出，由项目牵头单位组织编写；项目完成人最多15位，需根据贡献度进行排序。</w:t>
      </w:r>
    </w:p>
    <w:p w14:paraId="582ECBBC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三、承诺书需要全部申报单位盖公章，团队信息及整本申报书仅牵头单位盖公章。</w:t>
      </w:r>
    </w:p>
    <w:p w14:paraId="03F61578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四、项目方案中第一次出现外文名词时，要写清全称和缩写，再出现同一词时可以使用缩写。</w:t>
      </w:r>
    </w:p>
    <w:p w14:paraId="12A24A15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五、申报赛道只能填写一个，同一个项目不得多赛道申报。</w:t>
      </w:r>
    </w:p>
    <w:p w14:paraId="7700B58C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六、申报单位须填写单位规范全称，并与营业执照、公章名称完全一致。</w:t>
      </w:r>
    </w:p>
    <w:p w14:paraId="7141BA13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七、编写人员应客观、真实地填报项目材料，尊重他人知识产权，遵守国家有关知识产权法规。在项目方案中引用他人研究成果时，必须以脚注或其他方式注明出处，引用目的应是介绍、评论与自己的研究相关的成果或说明与自己的研究相关的技术问题。对于伪造、篡改科学数据，抄袭他人著作、论文或者剽窃他人科研成果等科研不端行为，一经查实，将记入信用记录。</w:t>
      </w:r>
    </w:p>
    <w:p w14:paraId="018C5707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八、项目方案介绍内容应凝练、生动、易理解，可配合相关图片及表格，正文字数原则上控制在 10000 字以内，其他相关材料可放附录。</w:t>
      </w:r>
    </w:p>
    <w:p w14:paraId="7FF35F36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九、项目文字避免过于理论化和技术化，避免体现单位宣传色彩。</w:t>
      </w:r>
    </w:p>
    <w:p w14:paraId="17BAAF01">
      <w:pPr>
        <w:widowControl w:val="1"/>
        <w:spacing w:line="360" w:lineRule="auto"/>
        <w:ind w:firstLine="480" w:firstLineChars="200"/>
        <w:jc w:val="left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hint="eastAsia" w:ascii="仿宋" w:hAnsi="仿宋" w:eastAsia="仿宋" w:cs="Times New Roman"/>
          <w:sz w:val="24"/>
          <w:szCs w:val="22"/>
        </w:rPr>
        <w:t>十、申报时，应先在官网申报系统按要求填写项目基本情况及项目简介，使用系统生成以项目编号命名的申报书（pdf）签字盖章后上传盖章扫描件。确认无误后再进行提交，提交后不可修改</w:t>
      </w:r>
      <w:r>
        <w:rPr>
          <w:rFonts w:hint="eastAsia" w:ascii="仿宋" w:hAnsi="仿宋" w:eastAsia="仿宋" w:cs="Times New Roman"/>
          <w:sz w:val="24"/>
        </w:rPr>
        <w:t>。</w:t>
      </w:r>
      <w:r>
        <w:rPr>
          <w:rFonts w:ascii="Times New Roman" w:hAnsi="Times New Roman" w:eastAsia="黑体" w:cs="Times New Roman"/>
          <w:sz w:val="28"/>
          <w:szCs w:val="22"/>
        </w:rPr>
        <w:br w:type="page"/>
      </w:r>
    </w:p>
    <w:p w14:paraId="60831B5B">
      <w:pPr>
        <w:pStyle w:val="000009"/>
      </w:pPr>
      <w:r>
        <w:rPr>
          <w:rFonts w:hint="eastAsia"/>
        </w:rPr>
        <w:t>第二部分：基础信息</w:t>
      </w:r>
    </w:p>
    <w:tbl>
      <w:tblPr>
        <w:tblW w:w="9639" w:type="dxa"/>
        <w:tblInd w:w="-582" w:type="dxa"/>
        <w:tblLayout w:type="fixed"/>
        <w:tblLook w:firstRow="1" w:lastRow="0" w:firstColumn="1" w:lastColumn="0" w:noHBand="0" w:noVBand="1" w:val="04A0"/>
      </w:tblPr>
      <w:tblGrid>
        <w:gridCol w:w="1701"/>
        <w:gridCol w:w="2127"/>
        <w:gridCol w:w="2268"/>
        <w:gridCol w:w="1559"/>
        <w:gridCol w:w="1984"/>
      </w:tblGrid>
      <w:tr>
        <w:trPr>
          <w:trHeight w:val="300"/>
        </w:trPr>
        <w:tc>
          <w:tcPr>
            <w:tcW w:w="1701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noWrap w:val="1"/>
            <w:vAlign w:val="center"/>
          </w:tcPr>
          <w:p w14:paraId="20BD68F9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项目信息</w:t>
            </w: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D70D60D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项目名称</w:t>
            </w:r>
          </w:p>
        </w:tc>
        <w:tc>
          <w:tcPr>
            <w:tcW w:w="5811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0FEF3AA5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AI 原生智能销售管理平台（CRM-AI-Native）</w:t>
            </w:r>
          </w:p>
        </w:tc>
      </w:tr>
      <w:tr>
        <w:trPr>
          <w:trHeight w:val="300"/>
        </w:trPr>
        <w:tc>
          <w:tcPr>
            <w:tcW w:w="1701" w:type="dxa"/>
            <w:vMerge w:val="continue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noWrap w:val="1"/>
            <w:vAlign w:val="center"/>
          </w:tcPr>
          <w:p w14:paraId="11A0C06F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F0318B8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申报通道</w:t>
            </w:r>
          </w:p>
        </w:tc>
        <w:tc>
          <w:tcPr>
            <w:tcW w:w="5811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14D8461B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技术通道</w:t>
            </w:r>
          </w:p>
        </w:tc>
      </w:tr>
      <w:tr>
        <w:trPr>
          <w:trHeight w:val="300"/>
        </w:trPr>
        <w:tc>
          <w:tcPr>
            <w:tcW w:w="1701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1"/>
            <w:vAlign w:val="center"/>
          </w:tcPr>
          <w:p w14:paraId="7A4704FE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19786E0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关键词</w:t>
            </w:r>
          </w:p>
        </w:tc>
        <w:tc>
          <w:tcPr>
            <w:tcW w:w="5811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7D1E09ED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AI 原生；多智能体编排；认知决策引擎；向量记忆；多租户 SaaS</w:t>
            </w:r>
          </w:p>
        </w:tc>
      </w:tr>
      <w:tr>
        <w:trPr>
          <w:trHeight w:val="300"/>
        </w:trPr>
        <w:tc>
          <w:tcPr>
            <w:tcW w:w="1701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7AB00D4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64B7C34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赋能领域</w:t>
            </w:r>
          </w:p>
        </w:tc>
        <w:tc>
          <w:tcPr>
            <w:tcW w:w="5811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68E8950B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数字经济 · 企业服务（B2B 销售管理）</w:t>
            </w:r>
          </w:p>
        </w:tc>
      </w:tr>
      <w:tr>
        <w:trPr>
          <w:trHeight w:val="300"/>
        </w:trPr>
        <w:tc>
          <w:tcPr>
            <w:tcW w:w="1701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022D6A1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390C1EC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应用发展阶段</w:t>
            </w:r>
          </w:p>
        </w:tc>
        <w:tc>
          <w:tcPr>
            <w:tcW w:w="5811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336C2FA3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推广应用阶段（已在真实 B2B 销售业务中落地运行）</w:t>
            </w:r>
          </w:p>
        </w:tc>
      </w:tr>
      <w:tr>
        <w:trPr>
          <w:trHeight w:val="300"/>
        </w:trPr>
        <w:tc>
          <w:tcPr>
            <w:tcW w:w="1701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8BD5C38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387AE74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创新类型</w:t>
            </w:r>
          </w:p>
        </w:tc>
        <w:tc>
          <w:tcPr>
            <w:tcW w:w="5811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473C7760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技术创新、应用创新、模式创新</w:t>
            </w:r>
          </w:p>
        </w:tc>
      </w:tr>
      <w:tr>
        <w:trPr>
          <w:trHeight w:val="300"/>
        </w:trPr>
        <w:tc>
          <w:tcPr>
            <w:tcW w:w="1701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8FE1C9D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79C84F0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项目应用地</w:t>
            </w:r>
          </w:p>
        </w:tc>
        <w:tc>
          <w:tcPr>
            <w:tcW w:w="5811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1AA48CC2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北京市</w:t>
            </w:r>
          </w:p>
        </w:tc>
      </w:tr>
      <w:tr>
        <w:trPr>
          <w:trHeight w:val="300"/>
        </w:trPr>
        <w:tc>
          <w:tcPr>
            <w:tcW w:w="1701" w:type="dxa"/>
            <w:vMerge w:val="restart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noWrap w:val="1"/>
            <w:vAlign w:val="center"/>
          </w:tcPr>
          <w:p w14:paraId="7FF00A31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联系人信息</w:t>
            </w: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6C3EC84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姓名</w:t>
            </w:r>
          </w:p>
        </w:tc>
        <w:tc>
          <w:tcPr>
            <w:tcW w:w="5811" w:type="dxa"/>
            <w:gridSpan w:val="3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3AC2EB03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王俊</w:t>
            </w:r>
          </w:p>
        </w:tc>
      </w:tr>
      <w:tr>
        <w:trPr>
          <w:trHeight w:val="300"/>
        </w:trPr>
        <w:tc>
          <w:tcPr>
            <w:tcW w:w="1701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 w:val="1"/>
            <w:vAlign w:val="center"/>
          </w:tcPr>
          <w:p w14:paraId="110D4106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4844D22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证件类型</w:t>
            </w:r>
          </w:p>
        </w:tc>
        <w:tc>
          <w:tcPr>
            <w:tcW w:w="226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28FF5E8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居民身份证</w:t>
            </w:r>
          </w:p>
        </w:tc>
        <w:tc>
          <w:tcPr>
            <w:tcW w:w="155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7D995FC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证件号码</w:t>
            </w:r>
          </w:p>
        </w:tc>
        <w:tc>
          <w:tcPr>
            <w:tcW w:w="198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415B89B6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1"/>
            <w:vAlign w:val="center"/>
          </w:tcPr>
          <w:p w14:paraId="04889A86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  <w:noWrap w:val="1"/>
            <w:vAlign w:val="center"/>
          </w:tcPr>
          <w:p w14:paraId="079CAA59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移动电话</w:t>
            </w:r>
          </w:p>
        </w:tc>
        <w:tc>
          <w:tcPr>
            <w:tcW w:w="2268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  <w:noWrap w:val="1"/>
            <w:vAlign w:val="center"/>
          </w:tcPr>
          <w:p w14:paraId="203FDD7E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13911894515</w:t>
            </w:r>
          </w:p>
        </w:tc>
        <w:tc>
          <w:tcPr>
            <w:tcW w:w="1559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  <w:noWrap w:val="1"/>
            <w:vAlign w:val="center"/>
          </w:tcPr>
          <w:p w14:paraId="4D20F75A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电子信箱</w:t>
            </w:r>
          </w:p>
        </w:tc>
        <w:tc>
          <w:tcPr>
            <w:tcW w:w="1984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noWrap w:val="1"/>
            <w:vAlign w:val="center"/>
          </w:tcPr>
          <w:p w14:paraId="04BE039A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</w:rPr>
              <w:t>watchm@163.com</w:t>
            </w:r>
          </w:p>
        </w:tc>
      </w:tr>
      <w:tr>
        <w:trPr>
          <w:trHeight w:val="300"/>
        </w:trPr>
        <w:tc>
          <w:tcPr>
            <w:tcW w:w="1701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E009283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牵头单位信息</w:t>
            </w:r>
          </w:p>
        </w:tc>
        <w:tc>
          <w:tcPr>
            <w:tcW w:w="2127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701880E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单位名称</w:t>
            </w:r>
          </w:p>
        </w:tc>
        <w:tc>
          <w:tcPr>
            <w:tcW w:w="226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0CD3A1B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北京青羽智行科技有限公司</w:t>
            </w:r>
          </w:p>
        </w:tc>
        <w:tc>
          <w:tcPr>
            <w:tcW w:w="1559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C3B006A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单位性质</w:t>
            </w:r>
          </w:p>
        </w:tc>
        <w:tc>
          <w:tcPr>
            <w:tcW w:w="198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3E8BBDD9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4"/>
              </w:rPr>
              <w:t>企业</w:t>
            </w:r>
          </w:p>
        </w:tc>
      </w:tr>
      <w:tr>
        <w:trPr>
          <w:trHeight w:val="285"/>
        </w:trPr>
        <w:tc>
          <w:tcPr>
            <w:tcW w:w="1701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806990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55EB564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通讯地址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345CC02D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285"/>
        </w:trPr>
        <w:tc>
          <w:tcPr>
            <w:tcW w:w="1701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971823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F85BE0C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全国组织机构统一社会信用代码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12" w:space="0"/>
            </w:tcBorders>
            <w:noWrap w:val="1"/>
            <w:vAlign w:val="center"/>
          </w:tcPr>
          <w:p w14:paraId="38D8A934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285"/>
        </w:trPr>
        <w:tc>
          <w:tcPr>
            <w:tcW w:w="1701" w:type="dxa"/>
            <w:vMerge w:val="continue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vAlign w:val="center"/>
          </w:tcPr>
          <w:p w14:paraId="2D21DC4B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color="auto" w:sz="12" w:space="0"/>
              <w:right w:val="single" w:color="auto" w:sz="4" w:space="0"/>
            </w:tcBorders>
            <w:noWrap w:val="1"/>
            <w:vAlign w:val="center"/>
          </w:tcPr>
          <w:p w14:paraId="070CE890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单位所在地</w:t>
            </w:r>
          </w:p>
        </w:tc>
        <w:tc>
          <w:tcPr>
            <w:tcW w:w="5811" w:type="dxa"/>
            <w:gridSpan w:val="3"/>
            <w:tcBorders>
              <w:top w:val="nil"/>
              <w:left w:val="nil"/>
              <w:bottom w:val="single" w:color="auto" w:sz="12" w:space="0"/>
              <w:right w:val="single" w:color="auto" w:sz="12" w:space="0"/>
            </w:tcBorders>
            <w:noWrap w:val="1"/>
            <w:vAlign w:val="center"/>
          </w:tcPr>
          <w:p w14:paraId="1542A273">
            <w:pPr>
              <w:widowControl w:val="1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ascii="仿宋" w:hAnsi="仿宋" w:eastAsia="仿宋" w:cs="Times New Roman"/>
                <w:color w:val="000000"/>
                <w:sz w:val="24"/>
                <w:u w:val="single"/>
              </w:rPr>
              <w:t xml:space="preserve">      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省（市/自治区）</w:t>
            </w:r>
            <w:r>
              <w:rPr>
                <w:rFonts w:ascii="仿宋" w:hAnsi="仿宋" w:eastAsia="仿宋" w:cs="Times New Roman"/>
                <w:color w:val="000000"/>
                <w:sz w:val="24"/>
                <w:u w:val="single"/>
              </w:rPr>
              <w:t xml:space="preserve">     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市（区）</w:t>
            </w:r>
            <w:r>
              <w:rPr>
                <w:rFonts w:ascii="仿宋" w:hAnsi="仿宋" w:eastAsia="仿宋" w:cs="Times New Roman"/>
                <w:color w:val="000000"/>
                <w:sz w:val="24"/>
                <w:u w:val="single"/>
              </w:rPr>
              <w:t xml:space="preserve">      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区（县）</w:t>
            </w:r>
          </w:p>
        </w:tc>
      </w:tr>
    </w:tbl>
    <w:p w14:paraId="2B09C061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</w:p>
    <w:p w14:paraId="03ECE5E9">
      <w:pPr>
        <w:pStyle w:val="000009"/>
      </w:pPr>
      <w:r>
        <w:rPr>
          <w:rFonts w:hint="eastAsia"/>
        </w:rPr>
        <w:t>第三部分：团队信息表</w:t>
      </w:r>
    </w:p>
    <w:tbl>
      <w:tblPr>
        <w:tblW w:w="9629" w:type="dxa"/>
        <w:jc w:val="center"/>
        <w:tblLayout w:type="fixed"/>
        <w:tblLook w:firstRow="1" w:lastRow="0" w:firstColumn="1" w:lastColumn="0" w:noHBand="0" w:noVBand="1" w:val="04A0"/>
      </w:tblPr>
      <w:tblGrid>
        <w:gridCol w:w="699"/>
        <w:gridCol w:w="1227"/>
        <w:gridCol w:w="49"/>
        <w:gridCol w:w="709"/>
        <w:gridCol w:w="425"/>
        <w:gridCol w:w="1276"/>
        <w:gridCol w:w="1275"/>
        <w:gridCol w:w="284"/>
        <w:gridCol w:w="425"/>
        <w:gridCol w:w="992"/>
        <w:gridCol w:w="993"/>
        <w:gridCol w:w="1275"/>
      </w:tblGrid>
      <w:tr>
        <w:trPr>
          <w:trHeight w:val="20"/>
          <w:jc w:val="center"/>
        </w:trPr>
        <w:tc>
          <w:tcPr>
            <w:tcW w:w="9629" w:type="dxa"/>
            <w:gridSpan w:val="1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vAlign w:val="center"/>
          </w:tcPr>
          <w:p w14:paraId="66D9A727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申 报 单 位</w:t>
            </w:r>
          </w:p>
          <w:p w14:paraId="46EE6BD8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color w:val="EE0000"/>
                <w:sz w:val="24"/>
              </w:rPr>
              <w:t>（按照贡献度进行排序，默认第1个为牵头单位，联合申报单位不超过2个）</w:t>
            </w:r>
          </w:p>
        </w:tc>
      </w:tr>
      <w:tr>
        <w:trPr>
          <w:cantSplit w:val="1"/>
          <w:trHeight w:val="20"/>
          <w:jc w:val="center"/>
        </w:trPr>
        <w:tc>
          <w:tcPr>
            <w:tcW w:w="699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A99F3CC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序号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F2AA4CA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属性</w:t>
            </w:r>
          </w:p>
        </w:tc>
        <w:tc>
          <w:tcPr>
            <w:tcW w:w="118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009E64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单位名称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CC94755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通讯地址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000000" w:sz="4" w:space="0"/>
            </w:tcBorders>
            <w:noWrap w:val="1"/>
            <w:vAlign w:val="center"/>
          </w:tcPr>
          <w:p w14:paraId="60C25C06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单位性质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B512B5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项目联系人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3F8AEA8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手机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 w:val="1"/>
            <w:vAlign w:val="center"/>
          </w:tcPr>
          <w:p w14:paraId="465114C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电子邮箱</w:t>
            </w: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5C7AF75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8A3077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牵头单位</w:t>
            </w:r>
          </w:p>
        </w:tc>
        <w:tc>
          <w:tcPr>
            <w:tcW w:w="118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162A358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北京青羽智行科技有限公司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021408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6B4976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9209AD6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王俊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2E0F6D4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13911894515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 w:val="1"/>
            <w:vAlign w:val="center"/>
          </w:tcPr>
          <w:p w14:paraId="3B6A2338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watchm@163.com</w:t>
            </w: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6F56BB7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03215BD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联合单位</w:t>
            </w:r>
          </w:p>
        </w:tc>
        <w:tc>
          <w:tcPr>
            <w:tcW w:w="118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C78A75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BB95B0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0E4EA6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901AF1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0A5C87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 w:val="1"/>
            <w:vAlign w:val="center"/>
          </w:tcPr>
          <w:p w14:paraId="230833E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91CF507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</w:t>
            </w:r>
          </w:p>
        </w:tc>
        <w:tc>
          <w:tcPr>
            <w:tcW w:w="12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6F0E3A2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联合单位</w:t>
            </w:r>
          </w:p>
        </w:tc>
        <w:tc>
          <w:tcPr>
            <w:tcW w:w="118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259B2B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62AE44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55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684A66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9EF934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6F1116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 w:val="1"/>
            <w:vAlign w:val="center"/>
          </w:tcPr>
          <w:p w14:paraId="4935B91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9629" w:type="dxa"/>
            <w:gridSpan w:val="12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8" w:space="0"/>
            </w:tcBorders>
            <w:shd w:val="clear" w:color="auto" w:fill="F2F2F2" w:themeFill="background1" w:themeFillShade="F2"/>
            <w:vAlign w:val="center"/>
          </w:tcPr>
          <w:p w14:paraId="0BB4172B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团 队 成 员</w:t>
            </w:r>
          </w:p>
          <w:p w14:paraId="16E98FC2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color w:val="EE0000"/>
                <w:sz w:val="24"/>
              </w:rPr>
              <w:t>(按照贡献度进行排序，一等奖授奖人数不超过15人，二等奖授奖人数不超过10人，三等奖授奖人数不超过7人，其他奖项人数不超过5人)</w:t>
            </w: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DE008A7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序号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6B8BE78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王俊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86FC63B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性别</w:t>
            </w: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14879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北京青羽智行科技有限公司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5A2BAF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总经理</w:t>
            </w: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7277D2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职称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8207E4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13911894515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D75A83E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手机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5C43A60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watchm@163.com</w:t>
            </w: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974242F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79D2B1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38BE41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BAC14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F9619C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D6B1F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6809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D5058B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E68CE2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4F83354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0D6088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E11721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3AB4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ADEE6D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3DDD9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CA1D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989038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8583C4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D3D0CFB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A27BEA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1C9820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8E285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AADD39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329A0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9FA30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93D59D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1AB9BD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B14AD4B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4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348F8C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17CBEA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B477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AE1738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4EB2C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CB29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9DC4C2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3636E2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4F41DEF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5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42D3D7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69C617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54CF0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897187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16CA7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05DE2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927881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C9C5D4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A2800E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6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BB7AF2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0C65F9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4D7B6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883A83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9EE67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3A4F5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D02763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27E5CB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A8A84A3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7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F0F3F1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6F492C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AF96F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E3F3DD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0A5C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EA05F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0F494D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1FE3B4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CB67F05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8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033A30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80236E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023E2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918058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C03E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5F9A8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FB83FD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A757B7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8FFC7DC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9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7A30F6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5938D8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A9787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87E5F5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1850F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EC443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300ABC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BCB7A1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CA3FB58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10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9EE2CA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13483D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1F81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4884EC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48FBD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9A39C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6A82B7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C9749D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B3894D0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11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4B1A19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D9201C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5A8E1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E0A436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A9166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A28C6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1F0ED7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2D1A72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5DBF29D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12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1F73D1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24EF5CD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C99AD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0A470CA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188C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08AF9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9453BB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01027E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1F7EC94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13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F3BA79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E98D35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0DD7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E6CF9C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ECEF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A207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ACD589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2CD6CE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642E54C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14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F63720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51AFD3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7206E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4C80459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06A2D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DC34F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FE9490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3A3E5E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1B3F8222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15</w:t>
            </w:r>
          </w:p>
        </w:tc>
        <w:tc>
          <w:tcPr>
            <w:tcW w:w="12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6E6FFFF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59BC31C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CE60D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3F6688E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FE8E6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48A79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0514DE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1"/>
            <w:vAlign w:val="center"/>
          </w:tcPr>
          <w:p w14:paraId="7A2663C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9629" w:type="dxa"/>
            <w:gridSpan w:val="12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F2F2F2" w:themeFill="background1" w:themeFillShade="F2"/>
            <w:noWrap w:val="1"/>
            <w:vAlign w:val="center"/>
          </w:tcPr>
          <w:p w14:paraId="04707FEE">
            <w:pPr>
              <w:ind w:left="468" w:hanging="468" w:hangingChars="195"/>
              <w:jc w:val="left"/>
              <w:rPr>
                <w:rFonts w:hint="eastAsia" w:ascii="仿宋" w:hAnsi="仿宋" w:eastAsia="仿宋"/>
                <w:sz w:val="24"/>
                <w:u w:val="single"/>
              </w:rPr>
            </w:pPr>
            <w:r>
              <w:rPr>
                <w:rFonts w:hint="eastAsia" w:ascii="仿宋" w:hAnsi="仿宋" w:eastAsia="仿宋"/>
                <w:color w:val="EE0000"/>
                <w:sz w:val="24"/>
                <w:u w:val="single"/>
              </w:rPr>
              <w:t>注：1、此表格信息请与系统填报信息保持一致，确认无误后请盖公章并上传报名系统，最终获奖证书信息将以此为准，一经提交不可修改。</w:t>
            </w:r>
          </w:p>
        </w:tc>
      </w:tr>
    </w:tbl>
    <w:p w14:paraId="6CC2A763">
      <w:pPr>
        <w:pStyle w:val="00000d"/>
      </w:pPr>
    </w:p>
    <w:p w14:paraId="6544F61B">
      <w:pPr>
        <w:pStyle w:val="000009"/>
      </w:pPr>
      <w:r>
        <w:rPr>
          <w:rFonts w:hint="eastAsia"/>
        </w:rPr>
        <w:t>第四部分：项目概要</w:t>
      </w:r>
    </w:p>
    <w:p w14:paraId="3DB38728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color w:val="EE0000"/>
          <w:sz w:val="24"/>
          <w:szCs w:val="22"/>
        </w:rPr>
      </w:pPr>
      <w:r>
        <w:rPr>
          <w:rFonts w:hint="eastAsia" w:ascii="仿宋" w:hAnsi="仿宋" w:eastAsia="仿宋" w:cs="Times New Roman"/>
          <w:color w:val="EE0000"/>
          <w:sz w:val="24"/>
          <w:szCs w:val="22"/>
        </w:rPr>
        <w:t>本部分主要用于对外宣传展示。语言力求精炼、生动，直接呈现结论与亮点，不做展开论证。</w:t>
      </w:r>
    </w:p>
    <w:p w14:paraId="17EE70AD">
      <w:pPr>
        <w:keepNext w:val="1"/>
        <w:keepLines w:val="1"/>
        <w:numPr>
          <w:ilvl w:val="0"/>
          <w:numId w:val="1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案例-摘要（300字）</w:t>
      </w:r>
    </w:p>
    <w:p w14:paraId="316569F3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B2B 销售普遍存在客户信息分散、商机推进凭经验、超权限报价失控、AI 建议不可溯源等痛点。本项目研发 AI 原生智能销售管理平台（CRM-AI-Native），构建“业务 3＋技术 3＋平台 2”能力体系：集成 BANT、MEDDICC 等 15 个成熟销售方法论 SKILL，植入 21 条可测评行为标准，内嵌 LTC 全链路流程；基于上下文图谱构建客户记忆系统，写库即构建、语义检索秒级命中；销售决策模型可跟踪每个智能体任务，写操作必经决策第 0 闸并全程留痕；复盘智能体每日自动复盘，经验每天被沉淀；认知驱动决策引擎（K-M-D）让每次判断走完“知识—方法—校验”，多行业零代码配置上线。平台已在制造、医疗器械、化工等行业真实 B2B 销售业务中落地运行。</w:t>
      </w:r>
    </w:p>
    <w:p w14:paraId="1A9E6599">
      <w:pPr>
        <w:keepNext w:val="1"/>
        <w:keepLines w:val="1"/>
        <w:numPr>
          <w:ilvl w:val="0"/>
          <w:numId w:val="1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案例-主要创新（100字）</w:t>
      </w:r>
    </w:p>
    <w:p w14:paraId="49AC5BA6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①15 个方法论 SKILL 化，判断自动装配；②K-M-D 引擎 8 项校验走确定性规则、可复现；③写时向量化记忆，零填表秒级命中；④写操作必经决策第 0 闸，全程留痕；⑤多行业零代码配置上线。</w:t>
      </w:r>
    </w:p>
    <w:p w14:paraId="7444CA91">
      <w:pPr>
        <w:keepNext w:val="1"/>
        <w:keepLines w:val="1"/>
        <w:numPr>
          <w:ilvl w:val="0"/>
          <w:numId w:val="1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案例-应用成效（100字）</w:t>
      </w:r>
    </w:p>
    <w:p w14:paraId="0E1BFFA9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平台已在真实 B2B 销售业务运行：智能接诊平均响应 1.2 分钟、报价测算 42 秒、线索零漏接；超权限报价强制审批闭环，客户全景 10 秒可查，行为达标率实时可见，管理与合规风险显著下降。</w:t>
      </w:r>
    </w:p>
    <w:p w14:paraId="1CD5E50C">
      <w:pPr>
        <w:keepNext w:val="1"/>
        <w:keepLines w:val="1"/>
        <w:numPr>
          <w:ilvl w:val="0"/>
          <w:numId w:val="1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案例-项目背景（300字）</w:t>
      </w:r>
    </w:p>
    <w:p w14:paraId="54C0CECE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中国 B2B 企业销售长期依赖个人经验，存在三大核心矛盾：其一，客户知识随人员流动而流失，商机、报价、合同等数据孤立存储，新销售接手需数周重新摸底；其二，销售动作缺乏标准，拜访、报价、阶段推进凭感觉，丢单原因难以归因；其三，AI 应用停留在“问答助手”层面，建议不可解释、写操作不可控，企业不敢放权。随着大模型与智能体技术成熟，市场亟需一套把销售方法论、行为习惯与 LTC 流程装进系统、让判断可解释可审计的 AI 原生销售管理平台。本项目针对上述痛点，以算力与大模型能力为底座，重构 B2B 销售的作业与决策方式。</w:t>
      </w:r>
    </w:p>
    <w:p w14:paraId="03CA9FB0">
      <w:pPr>
        <w:keepNext w:val="1"/>
        <w:keepLines w:val="1"/>
        <w:numPr>
          <w:ilvl w:val="0"/>
          <w:numId w:val="1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案例-项目方案（800字）</w:t>
      </w:r>
    </w:p>
    <w:p w14:paraId="0F5CD72A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平台采用四层架构：数据与记忆层（PostgreSQL 16＋pgvector 向量库＋知识图谱，写库即构建）、平台层（多智能体编排、MCP 协议标准化接入、SSE 事件总线）、认知决策层（K-M-D 三层管道）、业务应用层（客户 360、商机、报价、审批、合同、计费、看板）。业务侧三大能力：一是集成 15 个成熟销售方法论 SKILL（BANT 线索初筛、MEDDICC 机会评估、三级报价、风险权衡等），覆盖线索到成交每一步决策；二是植入 21 条可测评行为标准，拜访闭环留痕、阶段动作标尺化、达标看板实时亮灯；三是 LTC 流程内嵌，线索—商机—方案—报价—合同—交付—回款—复盘全链路一条轨道，链路断裂自动预警、回款逾期分级催收。技术侧三大能力：一是上下文图谱客户记忆系统，自动沉淀客户业务、决策链、竞争情报等五类高频记忆；二是销售决策模型可跟踪每个智能体任务，写操作必经决策第 0 闸，七类决策边全程留痕，事件驱动自动派发；三是复盘智能体每日自动复盘，七类根因归因，处方审批后沉淀。平台侧：K-M-D 引擎——K 知识层装配客户记忆与租户 Know-How，M 方法层按场景装载方法论与行为标准，D 决策层九尺子校验（8 项确定性判定＋可选 LLM 精评），输出九列可解释决策记录；多行业零代码配置，实体、阶段、审批、领域计算全部由租户配置画像声明。性能指标：智能接诊平均响应 1.2 分钟，报价测算 42 秒，多租户数据严格隔离，支持公有云与私有化部署。</w:t>
      </w:r>
    </w:p>
    <w:p w14:paraId="77B730E2">
      <w:pPr>
        <w:keepNext w:val="1"/>
        <w:keepLines w:val="1"/>
        <w:numPr>
          <w:ilvl w:val="0"/>
          <w:numId w:val="1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案例-创新点（500字）</w:t>
      </w:r>
    </w:p>
    <w:p w14:paraId="49DB4B02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1）方法论 SKILL 化：常规 CRM 把方法论印在培训手册里，本项目将 15 个方法论做成带权重与必填维度的 SKILL，每次判断自动装配、强制执行，方法论从“墙上的字”变成“默认动作”。2）K-M-D 认知决策引擎：常规 AI 助手输出不可解释，本项目九尺子校验中 8 项走确定性规则（同一输入必得同一分），输出九列决策记录，可从结论追回每条假设与概念引用，黑箱变白箱。3）写时向量化客户记忆：写入即生成图谱关系与向量索引，五类记忆自动沉淀，“上次那套系统再来一套”零填表秒级出单，人走经验不走。4）决策第 0 闸：常规系统写操作无治理，本项目每个写操作携带决策 ID，超权限报价强制触发审批流，杜绝线下私自报价。5）多行业零代码配置：一个行业等于一份租户配置画像，新增行业不新增代码、不污染其他租户，同一套内核多行业并行。</w:t>
      </w:r>
    </w:p>
    <w:p w14:paraId="7CD95DC5">
      <w:pPr>
        <w:keepNext w:val="1"/>
        <w:keepLines w:val="1"/>
        <w:numPr>
          <w:ilvl w:val="0"/>
          <w:numId w:val="1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案例-应用效益（500字）</w:t>
      </w:r>
    </w:p>
    <w:p w14:paraId="39EF4ACC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内部效益：效率提升——智能接诊平均 1.2 分钟响应、报价测算 42 秒、跟进催办自动化，销售从事务性工作转向高价值客户经营；风险控制——超权限报价强制审批、验收口径书面锁定、回款逾期分级催收，合同与回款风险显著收敛；经验沉淀——复盘智能体每日归因，试点期行为达标率 82% 实时可见，新销售 10 秒看懂客户前因后果，人员流动不再带走客户与经验。外部效益：客户侧，报价有依据、响应更及时，客户满意度提升；行业侧，平台面向制造、医疗器械、化工等 B2B 行业以多租户零代码方式复制，帮助中小企业低门槛获得大厂级销售管理能力；社会侧，推动 B2B 销售从“凭关系、凭经验”走向“凭方法、凭数据”的数字化经营范式。算力赋能价值：确定性规则前置分担大量重复判断，LLM 调用集中在高价值推理环节，单位决策算力成本可控，体现“算力用在刀刃上”。</w:t>
      </w:r>
    </w:p>
    <w:p w14:paraId="494DAA16">
      <w:pPr>
        <w:keepNext w:val="1"/>
        <w:keepLines w:val="1"/>
        <w:numPr>
          <w:ilvl w:val="0"/>
          <w:numId w:val="1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案例-项目代表图片</w:t>
      </w:r>
    </w:p>
    <w:p w14:paraId="4C82E978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至少一张项目代表图，一张技术架构图</w:t>
      </w:r>
    </w:p>
    <w:p w14:paraId="4DEF78CE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图片要求：JPG或PNG格式，16:9，分辨率不低于1080P、100dpi。</w:t>
      </w:r>
    </w:p>
    <w:p w14:paraId="4382E67C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项目代表图：用于项目宣传封面。</w:t>
      </w:r>
    </w:p>
    <w:p w14:paraId="0FD0EA62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技术架构图：项目方案技术系统的组成及关系、所用的技术特点等。</w:t>
      </w:r>
    </w:p>
    <w:p w14:paraId="57DAE064">
      <w:pPr>
        <w:pStyle w:val="00000d"/>
      </w:pPr>
    </w:p>
    <w:p w14:paraId="4E20274D">
      <w:pPr>
        <w:pStyle w:val="000009"/>
      </w:pPr>
      <w:r>
        <w:rPr>
          <w:rFonts w:hint="eastAsia"/>
        </w:rPr>
        <w:t>第五部分：申报方案</w:t>
      </w:r>
    </w:p>
    <w:p w14:paraId="0208C485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color w:val="EE0000"/>
          <w:sz w:val="24"/>
          <w:szCs w:val="22"/>
        </w:rPr>
      </w:pPr>
      <w:r>
        <w:rPr>
          <w:rFonts w:hint="eastAsia" w:ascii="仿宋" w:hAnsi="仿宋" w:eastAsia="仿宋" w:cs="Times New Roman"/>
          <w:color w:val="EE0000"/>
          <w:sz w:val="24"/>
          <w:szCs w:val="22"/>
        </w:rPr>
        <w:t>本部分用于评审打分和先进性研判，是专家评审的核心依据。</w:t>
      </w:r>
    </w:p>
    <w:p w14:paraId="029C7D6D">
      <w:pPr>
        <w:pStyle w:val="000020"/>
      </w:pPr>
      <w:r>
        <w:rPr>
          <w:rFonts w:hint="eastAsia"/>
        </w:rPr>
        <w:t>项目简介（500字）</w:t>
      </w:r>
    </w:p>
    <w:p w14:paraId="1A69E7FA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围绕项目赛题方向，凝练介绍申报项目，避免单纯罗列政策背景。内容建议涵盖项目所处的行业背景与产业发展现状，项目旨在解决的核心问题，明确主要建设目标与预期价值。突出项目与核心业务场景的关联度，聚焦核心矛盾与机遇。</w:t>
      </w:r>
    </w:p>
    <w:p w14:paraId="6BF53031">
      <w:pPr>
        <w:pStyle w:val="000020"/>
      </w:pPr>
      <w:r>
        <w:rPr>
          <w:rFonts w:hint="eastAsia"/>
        </w:rPr>
        <w:t>背景与需求（500字）</w:t>
      </w:r>
    </w:p>
    <w:p w14:paraId="567F8316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系统阐述项目立项的依据，请基于客观分析和事实依据进行论述。可以概述行业发展阶段、技术水平及算力赋能必要性；分析数字化转型中技术、业务、组织等维度的核心问题与挑战；明确项目服务的具体行业领域及应用场景，描述目标客户群体及其具体需求，增强科学性与针对性。</w:t>
      </w:r>
    </w:p>
    <w:p w14:paraId="0E6DE05F">
      <w:pPr>
        <w:pStyle w:val="000020"/>
      </w:pPr>
      <w:r>
        <w:rPr>
          <w:rFonts w:hint="eastAsia"/>
        </w:rPr>
        <w:t>项目内容</w:t>
      </w:r>
    </w:p>
    <w:p w14:paraId="28455EC0">
      <w:pPr>
        <w:keepNext w:val="1"/>
        <w:keepLines w:val="1"/>
        <w:numPr>
          <w:ilvl w:val="0"/>
          <w:numId w:val="2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项目方案（4000字）</w:t>
      </w:r>
    </w:p>
    <w:p w14:paraId="6D693A2C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申报书的核心部分，需详细透彻阐述项目方案。</w:t>
      </w:r>
    </w:p>
    <w:p w14:paraId="78E98DA3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技术架构：详细说明所采用的技术路线与系统架构，如数字转型方式、系统集成方案及绿色节能设计等。通过与现有主流方案对比，凸显技术先进性、领先优势及对项目需求的精准匹配，避免技术堆砌或与需求脱节的功能罗列。</w:t>
      </w:r>
    </w:p>
    <w:p w14:paraId="32EB9689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功能体系：系统介绍项目实现的核心功能模块与关键业务流程，说明各模块间的运行机制与协同关系，充分体现方案的系统性。</w:t>
      </w:r>
    </w:p>
    <w:p w14:paraId="12FAC40A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硬件与算力：开发与生产均基于 x86_64 通用服务器，无专用加速卡依赖。平台算力策略为“确定性规则前置＋LLM 按需调用”：九尺子校验 8 项走代码判定、语义检索走 pgvector 索引，仅方法论推理与复盘归因调用大模型（接入主流 OpenAI 兼容 API，模型可插拔），单租户 4 核 8G 云主机即可承载百人级销售团队日常运行，随租户增长水平扩展。存储：关系数据与向量索引同库存储，建议 100GB 起步，按租户数据量线性增长，支持每日自动备份与恢复演练。网络：统一入口（Nginx）＋MCP StreamableHTTP 通道，支持公网 HTTPS 与内网隔离部署。软件：Node.js 22 运行时、PostgreSQL 16（pgvector＋pgcrypto）、Express 4 框架、Vitest 测试体系（全量回归测试基线）、Playwright 自动化验收。人力配置：核心研发团队负责平台内核、多智能体编排与决策引擎；实施顾问负责租户配置画像（行业实体、阶段流水线、审批域、领域计算公式）梳理与上线；每租户开通周期以天计。</w:t>
      </w:r>
    </w:p>
    <w:p w14:paraId="0850B51C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部署实施：阐述实施步骤与计划，着重描述项目落地后对现有生产模式、业务流程或管理方式的实质性优化与变革潜力，突出方案的科学性与落地可行性。</w:t>
      </w:r>
    </w:p>
    <w:p w14:paraId="1B409FFB">
      <w:pPr>
        <w:keepNext w:val="1"/>
        <w:keepLines w:val="1"/>
        <w:numPr>
          <w:ilvl w:val="0"/>
          <w:numId w:val="2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创新点（1000字）</w:t>
      </w:r>
    </w:p>
    <w:p w14:paraId="19462B7D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一、技术架构创新。1）“写库即构建”的记忆架构：常规 CRM 数据写入即终点，检索靠人工维护标签；本项目写入同时自动生成知识图谱关系与向量索引，五类高频记忆自动沉淀，语义检索零填表秒级命中，记忆生产成本接近于零，领先于国内外同类产品需人工整理客户画像的做法。2）K-M-D 认知决策管道：决策拆为知识—方法—决策三层，每层可独立审计；D 层九尺子校验中 8 项采用确定性代码规则（0–4 分制、及格线配置化），同一输入必得同一分，从工程上杜绝“模型随口打分”；输出九列决策记录（目的、假设、推理、观点、影响、风险、止损、概念引用、评分），审计时可从结论一路追回每条假设的证据链，国内外同类 AI 销售产品尚无同粒度的可解释决策记录。3）决策第 0 闸写治理：所有写操作强制携带决策 ID，缺决策依据的写入被直接拒绝，配合动作白名单与确认令牌，AI 写入机制上可控、可审、可撤销。二、应用场景创新。4）方法论与行为标准 SKILL 化：15 个方法论不再是培训手册，而是带权重与必填维度的可执行装配单元，每次判断自动装载、缺输入即扣分预警；21 条行为标准逐条可测评，把“好销售的习惯”变成组织资产。5）复盘智能体每日归因：夜间批量扫描当日决策，七类根因分类，处方需人工审批后生效（不自批自方），教训变 SOP、成交变锚点，把“月度复盘会”升级为“每日自动飞轮”。三、运营模式创新。6）多行业零代码配置：一个行业等于一份租户配置画像，实体、阶段流水线、审批域、领域计算全部配置声明，销售阈值后台可调不发版；相比传统 CRM 按行业定制开发的交付模式，实施周期由月降至天，边际成本大幅下降，具备规模化复制条件。上述创新已形成软件著作权申请材料（程序鉴别材料 60 页、软件说明书 30 页），平台源代码规模 60290 行。</w:t>
      </w:r>
    </w:p>
    <w:p w14:paraId="33FF22F1">
      <w:pPr>
        <w:pStyle w:val="000020"/>
      </w:pPr>
      <w:r>
        <w:rPr>
          <w:rFonts w:hint="eastAsia"/>
        </w:rPr>
        <w:t>实用性分析（1000字）</w:t>
      </w:r>
    </w:p>
    <w:p w14:paraId="19A99C87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阐述项目方案成熟度与市场推广价值</w:t>
      </w:r>
    </w:p>
    <w:p w14:paraId="6BFFCABD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（一）推广示范性：清晰说明实施路径、关键里程碑及阶段性成果。可围绕解决方案与市场需求的契合度，深入分析其市场潜力、成长性及可复制的示范价值，尽可能在潜在用户规模、行业覆盖范围与预期市场份额等方面提供测算数据。</w:t>
      </w:r>
    </w:p>
    <w:p w14:paraId="5DEC4ACB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（二）模式可持续性：系统阐述市场策略与商业模式，内容可涵盖运营模式、定价策略、成本构成、盈利模式及稳定性评估、应用拓展空间以及推广渠道与宣传策略，如条件允许应提供成本、收入及市场空间测算数据作为支撑，确保商业模式逻辑清晰、论证充分。</w:t>
      </w:r>
    </w:p>
    <w:p w14:paraId="4CFE4661">
      <w:pPr>
        <w:pStyle w:val="000020"/>
      </w:pPr>
      <w:r>
        <w:rPr>
          <w:rFonts w:hint="eastAsia"/>
        </w:rPr>
        <w:t>效益与价值（2000字）</w:t>
      </w:r>
    </w:p>
    <w:p w14:paraId="7BC078BD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（一）需求契合度分析：重点阐述项目方案与需求的契合程度。明确相较常规做法在精准响应与问题解决上的实质性提升，着力体现方案的靶向价值与差异化优势。</w:t>
      </w:r>
    </w:p>
    <w:p w14:paraId="21E4DFA0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（二）实施成效：量化阐述落地后在降本、增效、提质等方面的直接效果。建议从内部（成本、效率、风险）与外部（客户满意度、市场及社会价值）维度展开。</w:t>
      </w:r>
    </w:p>
    <w:p w14:paraId="5253AF44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（三）经济社会效益：综合评估经济效益（收入、投资、产业升级）与社会效益（就业、公共服务、科技、环境），充分体现项目的价值创造能力与标杆示范性。</w:t>
      </w:r>
    </w:p>
    <w:p w14:paraId="6F77A64E">
      <w:pPr>
        <w:widowControl w:val="1"/>
        <w:jc w:val="left"/>
        <w:rPr>
          <w:rFonts w:ascii="Times New Roman" w:hAnsi="Times New Roman" w:eastAsia="宋体" w:cs="Times New Roman"/>
          <w:kern w:val="0"/>
          <w:sz w:val="24"/>
          <w:szCs w:val="28"/>
        </w:rPr>
      </w:pPr>
      <w:r>
        <w:rPr>
          <w:rFonts w:ascii="Times New Roman" w:hAnsi="Times New Roman" w:eastAsia="宋体" w:cs="Times New Roman"/>
          <w:kern w:val="0"/>
          <w:sz w:val="24"/>
          <w:szCs w:val="28"/>
        </w:rPr>
        <w:br w:type="page"/>
      </w:r>
    </w:p>
    <w:p w14:paraId="5C340009">
      <w:pPr>
        <w:pStyle w:val="000009"/>
      </w:pPr>
      <w:r>
        <w:rPr>
          <w:rFonts w:hint="eastAsia"/>
        </w:rPr>
        <w:t>第六部分：承诺函</w:t>
      </w:r>
    </w:p>
    <w:p w14:paraId="51F2434B">
      <w:pPr>
        <w:pStyle w:val="000024"/>
        <w:ind w:firstLine="0" w:firstLineChars="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“华彩杯”算力创新应用大赛组委会：</w:t>
      </w:r>
    </w:p>
    <w:p w14:paraId="560C6EE9">
      <w:pPr>
        <w:pStyle w:val="000024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</w:p>
    <w:p w14:paraId="02E972B7">
      <w:pPr>
        <w:pStyle w:val="000024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  <w:u w:val="single"/>
        </w:rPr>
        <w:t>　　北京青羽智行科技有限公司　　</w:t>
      </w: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郑重承诺，现</w:t>
      </w:r>
      <w:r>
        <w:rPr>
          <w:rFonts w:hint="eastAsia" w:ascii="Times New Roman" w:hAnsi="Times New Roman" w:eastAsia="黑体" w:cs="Times New Roman"/>
          <w:bCs w:val="1"/>
          <w:sz w:val="28"/>
          <w:szCs w:val="28"/>
          <w:u w:val="single"/>
        </w:rPr>
        <w:t>就　　AI 原生智能销售管理平台（CRM-AI-Native）　　参与</w:t>
      </w: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本次“华彩杯”算力创新应用大赛的相关事宜，声明如下：</w:t>
      </w:r>
    </w:p>
    <w:p w14:paraId="50E277E6">
      <w:pPr>
        <w:pStyle w:val="000024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1.本单位对提供参赛的全部资料的真实性负责，全部参赛材料为本单位（联合团队）所有，项目内容不涉及且未泄露国家秘密、商业秘密及其他不宜公开的信息。</w:t>
      </w:r>
    </w:p>
    <w:p w14:paraId="1B1E8CD9">
      <w:pPr>
        <w:pStyle w:val="000024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2.本单位（联合团队）拥有参赛核心方案的所有权和知识产权，项目内容涉及的产品、技术及相关专利等知识产权均未侵犯他人合法权益。</w:t>
      </w:r>
    </w:p>
    <w:p w14:paraId="7E0E2696">
      <w:pPr>
        <w:pStyle w:val="000024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3.已确认申报材料中所有文字、图片、数据等内容审核无误。</w:t>
      </w:r>
    </w:p>
    <w:p w14:paraId="7FEB4CD0">
      <w:pPr>
        <w:pStyle w:val="000024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4.同意大赛主办方使用参赛项目成果（包括但不限于项目简介、演示材料、图片、视频等）及团队信息，用于大赛宣传推广、成果展示、媒体报道、案例汇编、展览展出等。</w:t>
      </w:r>
    </w:p>
    <w:p w14:paraId="22D60443">
      <w:pPr>
        <w:pStyle w:val="000024"/>
        <w:ind w:firstLine="560"/>
        <w:jc w:val="left"/>
        <w:rPr>
          <w:rFonts w:ascii="Times New Roman" w:hAnsi="Times New Roman" w:eastAsia="黑体" w:cs="Times New Roman"/>
          <w:bCs w:val="1"/>
          <w:sz w:val="36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本单位（联合团队）对违反上述声明导致的后果承担全部法律责任。</w:t>
      </w:r>
    </w:p>
    <w:p w14:paraId="56330584">
      <w:pPr>
        <w:pStyle w:val="00000d"/>
      </w:pPr>
      <w:r>
        <w:br w:type="page"/>
      </w:r>
    </w:p>
    <w:p w14:paraId="7E678DC3">
      <w:pPr>
        <w:pStyle w:val="000009"/>
      </w:pPr>
      <w:r>
        <w:rPr>
          <w:rFonts w:hint="eastAsia"/>
        </w:rPr>
        <w:t>第七部分：附件</w:t>
      </w:r>
    </w:p>
    <w:p w14:paraId="24EE8D67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bookmarkStart w:id="3" w:name="_Toc418698373"/>
      <w:r>
        <w:rPr>
          <w:rFonts w:hint="eastAsia" w:ascii="仿宋" w:hAnsi="仿宋" w:eastAsia="仿宋" w:cs="Times New Roman"/>
          <w:kern w:val="0"/>
          <w:sz w:val="24"/>
          <w:szCs w:val="28"/>
        </w:rPr>
        <w:t>附件一：牵头单位营业执照；</w:t>
      </w:r>
    </w:p>
    <w:p w14:paraId="2447760D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附件二：项目相关的知识产权</w:t>
      </w:r>
      <w:bookmarkEnd w:id="3"/>
      <w:r>
        <w:rPr>
          <w:rFonts w:hint="eastAsia" w:ascii="仿宋" w:hAnsi="仿宋" w:eastAsia="仿宋" w:cs="Times New Roman"/>
          <w:kern w:val="0"/>
          <w:sz w:val="24"/>
          <w:szCs w:val="28"/>
        </w:rPr>
        <w:t>证明材料，如专利、论文、软著等；</w:t>
      </w:r>
    </w:p>
    <w:p w14:paraId="64889A4D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附件三：项目应用成效的证明材料，如测试报告、应用证明、合同关键页扫描件等。</w:t>
      </w:r>
    </w:p>
    <w:p w14:paraId="6CA506BD">
      <w:pPr>
        <w:widowControl w:val="1"/>
        <w:jc w:val="left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br w:type="page"/>
      </w:r>
    </w:p>
    <w:p w14:paraId="6ED4AACA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6FA90363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41F3DE7B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  <w:r>
        <w:rPr>
          <w:rFonts w:ascii="Times New Roman" w:hAnsi="Times New Roman" w:eastAsia="黑体" w:cs="Times New Roman"/>
          <w:b w:val="1"/>
          <w:bCs w:val="1"/>
          <w:noProof w:val="1"/>
          <w:sz w:val="44"/>
        </w:rPr>
        <w:drawing>
          <wp:inline distT="0" distB="0" distL="0" distR="0">
            <wp:extent cx="1608455" cy="762000"/>
            <wp:effectExtent l="0" t="0" r="0" b="0"/>
            <wp:docPr id="7" name="图片 12571299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8667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AF5B7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10A14FF1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  <w:r>
        <w:rPr>
          <w:rFonts w:hint="eastAsia" w:ascii="Times New Roman" w:hAnsi="Times New Roman" w:eastAsia="黑体" w:cs="Times New Roman"/>
          <w:b w:val="1"/>
          <w:bCs w:val="1"/>
          <w:sz w:val="44"/>
        </w:rPr>
        <w:t>“华彩杯”算力创新应用大赛</w:t>
      </w:r>
    </w:p>
    <w:p w14:paraId="17847797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4FECA7AF">
      <w:pPr>
        <w:pStyle w:val="000016"/>
        <w:outlineLvl w:val="0"/>
      </w:pPr>
      <w:r>
        <w:rPr>
          <w:rFonts w:hint="eastAsia"/>
        </w:rPr>
        <w:t>实战通道申报参考模板</w:t>
      </w:r>
    </w:p>
    <w:p w14:paraId="44E9B785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55324614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04B7422A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0571F105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7F380349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22E309BF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7AF9B289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58431CEA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21B9339F">
      <w:pPr>
        <w:snapToGrid w:val="0"/>
        <w:spacing w:line="300" w:lineRule="auto"/>
        <w:jc w:val="center"/>
        <w:rPr>
          <w:rFonts w:ascii="Times New Roman" w:hAnsi="Times New Roman" w:eastAsia="黑体" w:cs="Times New Roman"/>
          <w:b w:val="1"/>
          <w:bCs w:val="1"/>
          <w:sz w:val="44"/>
        </w:rPr>
      </w:pPr>
    </w:p>
    <w:p w14:paraId="58FE22D7">
      <w:pPr>
        <w:adjustRightInd w:val="0"/>
        <w:snapToGrid w:val="0"/>
        <w:spacing w:line="360" w:lineRule="auto"/>
        <w:jc w:val="center"/>
        <w:rPr>
          <w:rFonts w:ascii="Times New Roman" w:hAnsi="Times New Roman" w:eastAsia="黑体" w:cs="Times New Roman"/>
          <w:sz w:val="30"/>
          <w:szCs w:val="30"/>
        </w:rPr>
      </w:pPr>
      <w:r>
        <w:rPr>
          <w:rFonts w:hint="eastAsia" w:ascii="Times New Roman" w:hAnsi="Times New Roman" w:eastAsia="黑体" w:cs="Times New Roman"/>
          <w:sz w:val="30"/>
          <w:szCs w:val="30"/>
        </w:rPr>
        <w:t>“华彩杯”算力创新应用大赛组委会制</w:t>
      </w:r>
    </w:p>
    <w:p w14:paraId="288B8845">
      <w:pPr>
        <w:adjustRightInd w:val="0"/>
        <w:snapToGrid w:val="0"/>
        <w:spacing w:line="360" w:lineRule="auto"/>
        <w:jc w:val="center"/>
        <w:rPr>
          <w:rFonts w:ascii="Times New Roman" w:hAnsi="Times New Roman" w:eastAsia="黑体" w:cs="Times New Roman"/>
          <w:sz w:val="30"/>
          <w:szCs w:val="30"/>
        </w:rPr>
      </w:pPr>
      <w:r>
        <w:rPr>
          <w:rFonts w:hint="eastAsia" w:ascii="Times New Roman" w:hAnsi="Times New Roman" w:eastAsia="黑体" w:cs="Times New Roman"/>
          <w:sz w:val="30"/>
          <w:szCs w:val="30"/>
        </w:rPr>
        <w:t>二〇二六年</w:t>
      </w:r>
    </w:p>
    <w:p w14:paraId="0BF783B4">
      <w:pPr>
        <w:pStyle w:val="00000d"/>
      </w:pPr>
      <w:r>
        <w:br w:type="page"/>
      </w:r>
    </w:p>
    <w:p w14:paraId="3184528E">
      <w:pPr>
        <w:pStyle w:val="000009"/>
      </w:pPr>
      <w:r>
        <w:rPr>
          <w:rFonts w:hint="eastAsia"/>
        </w:rPr>
        <w:t>第一部分：申报说明</w:t>
      </w:r>
    </w:p>
    <w:p w14:paraId="3C5FD3F9">
      <w:pPr>
        <w:pStyle w:val="00000d"/>
        <w:rPr>
          <w:sz w:val="22"/>
          <w:szCs w:val="24"/>
        </w:rPr>
      </w:pPr>
      <w:r>
        <w:rPr>
          <w:noProof w:val="1"/>
          <w:lang w:bidi="bo-CN"/>
        </w:rPr>
        <w:drawing>
          <wp:inline distT="0" distB="0" distL="0" distR="0">
            <wp:extent cx="5220000" cy="647700"/>
            <wp:effectExtent l="0" t="0" r="19050" b="19050"/>
            <wp:docPr id="10" name="文本框 1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1">
                    <a:spLocks noChangeArrowheads="1"/>
                  </wps:cNvSpPr>
                  <wps:spPr bwMode="auto">
                    <a:xfrm>
                      <a:off x="0" y="0"/>
                      <a:ext cx="5220000" cy="6477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prstDash val="dash"/>
                      <a:miter lim="800000"/>
                    </a:ln>
                    <a:effectLst/>
                  </wps:spPr>
                  <wps:txbx>
                    <w:txbxContent>
                      <w:p w14:paraId="12007CCD">
                        <w:pPr>
                          <w:snapToGrid w:val="0"/>
                          <w:spacing w:line="312" w:lineRule="auto"/>
                          <w:jc w:val="left"/>
                          <w:rPr>
                            <w:rFonts w:hint="eastAsia" w:ascii="黑体" w:hAnsi="黑体" w:eastAsia="黑体"/>
                            <w:sz w:val="32"/>
                            <w:szCs w:val="32"/>
                          </w:rPr>
                        </w:pPr>
                        <w:r>
                          <w:rPr>
                            <w:rFonts w:hint="eastAsia" w:ascii="黑体" w:hAnsi="黑体" w:eastAsia="黑体"/>
                            <w:sz w:val="32"/>
                            <w:szCs w:val="32"/>
                          </w:rPr>
                          <w:t>《项目申报参考模板》仅用于辅助准备项目信息，正式申报请通过 桌面版客户端 注册填报。</w:t>
                        </w:r>
                      </w:p>
                    </w:txbxContent>
                  </wps:txbx>
                  <wps:bodyPr rot="0" vertOverflow="clip" horzOverflow="clip" vert="horz" wrap="square" lIns="0" tIns="0" rIns="0" bIns="0" anchor="t" anchorCtr="0" upright="1">
                    <a:noAutofit/>
                  </wps:bodyPr>
                </wps:wsp>
              </a:graphicData>
            </a:graphic>
          </wp:inline>
        </w:drawing>
      </w:r>
    </w:p>
    <w:p w14:paraId="4353CEC0">
      <w:pPr>
        <w:widowControl w:val="1"/>
        <w:spacing w:line="360" w:lineRule="auto"/>
        <w:ind w:firstLine="482" w:firstLineChars="200"/>
        <w:jc w:val="left"/>
        <w:rPr>
          <w:rFonts w:hint="eastAsia" w:ascii="黑体" w:hAnsi="黑体" w:eastAsia="黑体" w:cs="Times New Roman"/>
          <w:b w:val="1"/>
          <w:bCs w:val="1"/>
          <w:sz w:val="24"/>
          <w:szCs w:val="22"/>
        </w:rPr>
      </w:pPr>
      <w:r>
        <w:rPr>
          <w:rFonts w:hint="eastAsia" w:ascii="黑体" w:hAnsi="黑体" w:eastAsia="黑体" w:cs="Times New Roman"/>
          <w:b w:val="1"/>
          <w:bCs w:val="1"/>
          <w:sz w:val="24"/>
          <w:szCs w:val="22"/>
        </w:rPr>
        <w:t>本模板适用于：实战通道。</w:t>
      </w:r>
    </w:p>
    <w:p w14:paraId="012F66AF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《申报书》是评审的基础文件和主要依据。请根据相关要求，并按照申报书规定的格式、栏目及所列标题的要求认真填写内容以及签字用印。注意事项如下：</w:t>
      </w:r>
    </w:p>
    <w:p w14:paraId="1282ED44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一、申报项目不得填写涉及国家秘密的内容。</w:t>
      </w:r>
    </w:p>
    <w:p w14:paraId="43D50B31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二、项目方案可由一家单位提出，也可以由多家单位（最多三家）联合提出，由项目牵头单位组织编写；项目完成人最多15位，需根据贡献度进行排序。</w:t>
      </w:r>
    </w:p>
    <w:p w14:paraId="5F1B32B3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三、承诺书需要全部申报单位盖公章，团队信息及整本申报书仅牵头单位盖公章。</w:t>
      </w:r>
    </w:p>
    <w:p w14:paraId="3174E1BB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四、项目方案中第一次出现外文名词时，要写清全称和缩写，再出现同一词时可以使用缩写。</w:t>
      </w:r>
    </w:p>
    <w:p w14:paraId="6C04A191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五、申报赛道只能填写一个，同一个项目不得多赛道申报。</w:t>
      </w:r>
    </w:p>
    <w:p w14:paraId="08B72154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六、申报单位须填写单位规范全称，并与营业执照、公章名称完全一致。</w:t>
      </w:r>
    </w:p>
    <w:p w14:paraId="74864B7C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七、编写人员应客观、真实地填报项目材料，尊重他人知识产权，遵守国家有关知识产权法规。在项目方案中引用他人研究成果时，必须以脚注或其他方式注明出处，引用目的应是介绍、评论与自己的研究相关的成果或说明与自己的研究相关的技术问题。对于伪造、篡改科学数据，抄袭他人著作、论文或者剽窃他人科研成果等科研不端行为，一经查实，将记入信用记录。</w:t>
      </w:r>
    </w:p>
    <w:p w14:paraId="5F0AC82F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八、项目方案介绍内容应凝练、生动、易理解，可配合相关图片及表格，正文字数原则上控制在 10000 字以内，其他相关材料可放附录。</w:t>
      </w:r>
    </w:p>
    <w:p w14:paraId="3BAEA1E5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  <w:r>
        <w:rPr>
          <w:rFonts w:hint="eastAsia" w:ascii="仿宋" w:hAnsi="仿宋" w:eastAsia="仿宋" w:cs="Times New Roman"/>
          <w:sz w:val="24"/>
          <w:szCs w:val="22"/>
        </w:rPr>
        <w:t>九、项目文字避免过于理论化和技术化，避免体现单位宣传色彩。</w:t>
      </w:r>
    </w:p>
    <w:p w14:paraId="35859A78">
      <w:pPr>
        <w:widowControl w:val="1"/>
        <w:spacing w:line="360" w:lineRule="auto"/>
        <w:ind w:firstLine="480" w:firstLineChars="200"/>
        <w:jc w:val="left"/>
        <w:rPr>
          <w:rFonts w:ascii="Times New Roman" w:hAnsi="Times New Roman" w:eastAsia="黑体" w:cs="Times New Roman"/>
          <w:kern w:val="0"/>
          <w:sz w:val="28"/>
          <w:szCs w:val="28"/>
        </w:rPr>
      </w:pPr>
      <w:r>
        <w:rPr>
          <w:rFonts w:hint="eastAsia" w:ascii="仿宋" w:hAnsi="仿宋" w:eastAsia="仿宋" w:cs="Times New Roman"/>
          <w:sz w:val="24"/>
          <w:szCs w:val="22"/>
        </w:rPr>
        <w:t>十、申报时，应先在官网申报系统按要求填写项目基本情况及项目简介，使用系统生成以项目编号命名的申报书（pdf）签字盖章后上传盖章扫描件。确认无误后再进行提交，提交后不可修改</w:t>
      </w:r>
      <w:r>
        <w:rPr>
          <w:rFonts w:hint="eastAsia" w:ascii="仿宋" w:hAnsi="仿宋" w:eastAsia="仿宋" w:cs="Times New Roman"/>
          <w:sz w:val="24"/>
        </w:rPr>
        <w:t>。</w:t>
      </w:r>
      <w:r>
        <w:rPr>
          <w:rFonts w:ascii="Times New Roman" w:hAnsi="Times New Roman" w:eastAsia="黑体" w:cs="Times New Roman"/>
          <w:sz w:val="28"/>
          <w:szCs w:val="22"/>
        </w:rPr>
        <w:br w:type="page"/>
      </w:r>
    </w:p>
    <w:p w14:paraId="6183C3FC">
      <w:pPr>
        <w:pStyle w:val="000009"/>
      </w:pPr>
      <w:r>
        <w:rPr>
          <w:rFonts w:hint="eastAsia"/>
        </w:rPr>
        <w:t>第二部分：基础信息</w:t>
      </w:r>
    </w:p>
    <w:tbl>
      <w:tblPr>
        <w:tblW w:w="9639" w:type="dxa"/>
        <w:tblInd w:w="-58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701"/>
        <w:gridCol w:w="2127"/>
        <w:gridCol w:w="2268"/>
        <w:gridCol w:w="1559"/>
        <w:gridCol w:w="1984"/>
      </w:tblGrid>
      <w:tr>
        <w:trPr>
          <w:trHeight w:val="300"/>
        </w:trPr>
        <w:tc>
          <w:tcPr>
            <w:tcW w:w="1701" w:type="dxa"/>
            <w:vMerge w:val="restart"/>
            <w:noWrap w:val="1"/>
            <w:vAlign w:val="center"/>
          </w:tcPr>
          <w:p w14:paraId="170284F3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项目信息</w:t>
            </w:r>
          </w:p>
        </w:tc>
        <w:tc>
          <w:tcPr>
            <w:tcW w:w="2127" w:type="dxa"/>
            <w:noWrap w:val="1"/>
            <w:vAlign w:val="center"/>
          </w:tcPr>
          <w:p w14:paraId="56B30F0E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项目名称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2E556F71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noWrap w:val="1"/>
            <w:vAlign w:val="center"/>
          </w:tcPr>
          <w:p w14:paraId="24E31512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36AC2AFB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申报通道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05F9B80D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noWrap w:val="1"/>
            <w:vAlign w:val="center"/>
          </w:tcPr>
          <w:p w14:paraId="7466E001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29AC7615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关键词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583AD6E0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noWrap w:val="1"/>
            <w:vAlign w:val="center"/>
          </w:tcPr>
          <w:p w14:paraId="3DE1A1B7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1405BD1A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赋能领域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3B345D32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noWrap w:val="1"/>
            <w:vAlign w:val="center"/>
          </w:tcPr>
          <w:p w14:paraId="7DBA1B5E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67B8EF04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应用发展阶段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3CB64EAF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noWrap w:val="1"/>
            <w:vAlign w:val="center"/>
          </w:tcPr>
          <w:p w14:paraId="3A9A7084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51DB49C6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创新类型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64AA1841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noWrap w:val="1"/>
            <w:vAlign w:val="center"/>
          </w:tcPr>
          <w:p w14:paraId="54C7E6DE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13F0BE06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项目应用地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15B6AAD3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restart"/>
            <w:noWrap w:val="1"/>
            <w:vAlign w:val="center"/>
          </w:tcPr>
          <w:p w14:paraId="4B6A917D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联系人信息</w:t>
            </w:r>
          </w:p>
        </w:tc>
        <w:tc>
          <w:tcPr>
            <w:tcW w:w="2127" w:type="dxa"/>
            <w:noWrap w:val="1"/>
            <w:vAlign w:val="center"/>
          </w:tcPr>
          <w:p w14:paraId="525C4818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姓名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394698D6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noWrap w:val="1"/>
            <w:vAlign w:val="center"/>
          </w:tcPr>
          <w:p w14:paraId="21BCF6AB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694FC3BA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证件类型</w:t>
            </w:r>
          </w:p>
        </w:tc>
        <w:tc>
          <w:tcPr>
            <w:tcW w:w="2268" w:type="dxa"/>
            <w:noWrap w:val="1"/>
            <w:vAlign w:val="center"/>
          </w:tcPr>
          <w:p w14:paraId="3414ACF5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59" w:type="dxa"/>
            <w:noWrap w:val="1"/>
            <w:vAlign w:val="center"/>
          </w:tcPr>
          <w:p w14:paraId="183C0C8C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证件号码</w:t>
            </w:r>
          </w:p>
        </w:tc>
        <w:tc>
          <w:tcPr>
            <w:tcW w:w="1984" w:type="dxa"/>
            <w:noWrap w:val="1"/>
            <w:vAlign w:val="center"/>
          </w:tcPr>
          <w:p w14:paraId="52BA0CA8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continue"/>
            <w:noWrap w:val="1"/>
            <w:vAlign w:val="center"/>
          </w:tcPr>
          <w:p w14:paraId="6238FB02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3F025591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移动电话</w:t>
            </w:r>
          </w:p>
        </w:tc>
        <w:tc>
          <w:tcPr>
            <w:tcW w:w="2268" w:type="dxa"/>
            <w:noWrap w:val="1"/>
            <w:vAlign w:val="center"/>
          </w:tcPr>
          <w:p w14:paraId="57996D59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59" w:type="dxa"/>
            <w:noWrap w:val="1"/>
            <w:vAlign w:val="center"/>
          </w:tcPr>
          <w:p w14:paraId="3404C8B9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电子信箱</w:t>
            </w:r>
          </w:p>
        </w:tc>
        <w:tc>
          <w:tcPr>
            <w:tcW w:w="1984" w:type="dxa"/>
            <w:noWrap w:val="1"/>
            <w:vAlign w:val="center"/>
          </w:tcPr>
          <w:p w14:paraId="36952F6F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300"/>
        </w:trPr>
        <w:tc>
          <w:tcPr>
            <w:tcW w:w="1701" w:type="dxa"/>
            <w:vMerge w:val="restart"/>
            <w:noWrap w:val="1"/>
            <w:vAlign w:val="center"/>
          </w:tcPr>
          <w:p w14:paraId="62E9A83E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牵头单位信息</w:t>
            </w:r>
          </w:p>
        </w:tc>
        <w:tc>
          <w:tcPr>
            <w:tcW w:w="2127" w:type="dxa"/>
            <w:noWrap w:val="1"/>
            <w:vAlign w:val="center"/>
          </w:tcPr>
          <w:p w14:paraId="38E83368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单位名称</w:t>
            </w:r>
          </w:p>
        </w:tc>
        <w:tc>
          <w:tcPr>
            <w:tcW w:w="2268" w:type="dxa"/>
            <w:noWrap w:val="1"/>
            <w:vAlign w:val="center"/>
          </w:tcPr>
          <w:p w14:paraId="3F08F14D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559" w:type="dxa"/>
            <w:noWrap w:val="1"/>
            <w:vAlign w:val="center"/>
          </w:tcPr>
          <w:p w14:paraId="551DEC9D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单位性质</w:t>
            </w:r>
          </w:p>
        </w:tc>
        <w:tc>
          <w:tcPr>
            <w:tcW w:w="1984" w:type="dxa"/>
            <w:noWrap w:val="1"/>
            <w:vAlign w:val="center"/>
          </w:tcPr>
          <w:p w14:paraId="780B3479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285"/>
        </w:trPr>
        <w:tc>
          <w:tcPr>
            <w:tcW w:w="1701" w:type="dxa"/>
            <w:vMerge w:val="continue"/>
            <w:vAlign w:val="center"/>
          </w:tcPr>
          <w:p w14:paraId="66A3E461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387D5BB8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通讯地址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3C346CB3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285"/>
        </w:trPr>
        <w:tc>
          <w:tcPr>
            <w:tcW w:w="1701" w:type="dxa"/>
            <w:vMerge w:val="continue"/>
            <w:vAlign w:val="center"/>
          </w:tcPr>
          <w:p w14:paraId="65E82224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1572B578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全国组织机构统一社会信用代码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6CA86FC4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>
        <w:trPr>
          <w:trHeight w:val="285"/>
        </w:trPr>
        <w:tc>
          <w:tcPr>
            <w:tcW w:w="1701" w:type="dxa"/>
            <w:vMerge w:val="continue"/>
            <w:vAlign w:val="center"/>
          </w:tcPr>
          <w:p w14:paraId="3F262D98">
            <w:pPr>
              <w:widowControl w:val="1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2127" w:type="dxa"/>
            <w:noWrap w:val="1"/>
            <w:vAlign w:val="center"/>
          </w:tcPr>
          <w:p w14:paraId="36AFFAE2">
            <w:pPr>
              <w:widowControl w:val="1"/>
              <w:jc w:val="center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所在地区</w:t>
            </w:r>
          </w:p>
        </w:tc>
        <w:tc>
          <w:tcPr>
            <w:tcW w:w="5811" w:type="dxa"/>
            <w:gridSpan w:val="3"/>
            <w:noWrap w:val="1"/>
            <w:vAlign w:val="center"/>
          </w:tcPr>
          <w:p w14:paraId="183881B4">
            <w:pPr>
              <w:widowControl w:val="1"/>
              <w:rPr>
                <w:rFonts w:hint="eastAsia" w:ascii="仿宋" w:hAnsi="仿宋" w:eastAsia="仿宋" w:cs="Times New Roman"/>
                <w:color w:val="000000"/>
                <w:sz w:val="24"/>
              </w:rPr>
            </w:pPr>
            <w:r>
              <w:rPr>
                <w:rFonts w:ascii="仿宋" w:hAnsi="仿宋" w:eastAsia="仿宋" w:cs="Times New Roman"/>
                <w:color w:val="000000"/>
                <w:sz w:val="24"/>
                <w:u w:val="single"/>
              </w:rPr>
              <w:t xml:space="preserve">      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省（市/自治区）</w:t>
            </w:r>
            <w:r>
              <w:rPr>
                <w:rFonts w:ascii="仿宋" w:hAnsi="仿宋" w:eastAsia="仿宋" w:cs="Times New Roman"/>
                <w:color w:val="000000"/>
                <w:sz w:val="24"/>
                <w:u w:val="single"/>
              </w:rPr>
              <w:t xml:space="preserve">     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市（区）</w:t>
            </w:r>
            <w:r>
              <w:rPr>
                <w:rFonts w:ascii="仿宋" w:hAnsi="仿宋" w:eastAsia="仿宋" w:cs="Times New Roman"/>
                <w:color w:val="000000"/>
                <w:sz w:val="24"/>
                <w:u w:val="single"/>
              </w:rPr>
              <w:t xml:space="preserve">      </w:t>
            </w:r>
            <w:r>
              <w:rPr>
                <w:rFonts w:hint="eastAsia" w:ascii="仿宋" w:hAnsi="仿宋" w:eastAsia="仿宋" w:cs="Times New Roman"/>
                <w:color w:val="000000"/>
                <w:sz w:val="24"/>
              </w:rPr>
              <w:t>区（县）</w:t>
            </w:r>
          </w:p>
        </w:tc>
      </w:tr>
    </w:tbl>
    <w:p w14:paraId="559D481F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sz w:val="24"/>
          <w:szCs w:val="22"/>
        </w:rPr>
      </w:pPr>
    </w:p>
    <w:p w14:paraId="0DE4BF02">
      <w:pPr>
        <w:pStyle w:val="000009"/>
      </w:pPr>
      <w:r>
        <w:rPr>
          <w:rFonts w:hint="eastAsia"/>
        </w:rPr>
        <w:t>第三部分：团队信息表</w:t>
      </w:r>
    </w:p>
    <w:tbl>
      <w:tblPr>
        <w:tblW w:w="9629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699"/>
        <w:gridCol w:w="1227"/>
        <w:gridCol w:w="49"/>
        <w:gridCol w:w="709"/>
        <w:gridCol w:w="425"/>
        <w:gridCol w:w="1276"/>
        <w:gridCol w:w="1275"/>
        <w:gridCol w:w="284"/>
        <w:gridCol w:w="425"/>
        <w:gridCol w:w="992"/>
        <w:gridCol w:w="993"/>
        <w:gridCol w:w="1275"/>
      </w:tblGrid>
      <w:tr>
        <w:trPr>
          <w:trHeight w:val="20"/>
          <w:jc w:val="center"/>
        </w:trPr>
        <w:tc>
          <w:tcPr>
            <w:tcW w:w="9629" w:type="dxa"/>
            <w:gridSpan w:val="12"/>
            <w:shd w:val="clear" w:color="auto" w:fill="F2F2F2" w:themeFill="background1" w:themeFillShade="F2"/>
            <w:vAlign w:val="center"/>
          </w:tcPr>
          <w:p w14:paraId="1B8058DD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申 报 单 位</w:t>
            </w:r>
          </w:p>
          <w:p w14:paraId="25DDE569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color w:val="EE0000"/>
                <w:sz w:val="24"/>
              </w:rPr>
              <w:t>（按照贡献度进行排序，默认第1个为牵头单位，联合申报单位不超过2个）</w:t>
            </w:r>
          </w:p>
        </w:tc>
      </w:tr>
      <w:tr>
        <w:trPr>
          <w:cantSplit w:val="1"/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19E88FA3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序号</w:t>
            </w:r>
          </w:p>
        </w:tc>
        <w:tc>
          <w:tcPr>
            <w:tcW w:w="1227" w:type="dxa"/>
            <w:noWrap w:val="1"/>
            <w:vAlign w:val="center"/>
          </w:tcPr>
          <w:p w14:paraId="09DB1F3C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属性</w:t>
            </w:r>
          </w:p>
        </w:tc>
        <w:tc>
          <w:tcPr>
            <w:tcW w:w="1183" w:type="dxa"/>
            <w:gridSpan w:val="3"/>
            <w:vAlign w:val="center"/>
          </w:tcPr>
          <w:p w14:paraId="3649EB0F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单位名称</w:t>
            </w:r>
          </w:p>
        </w:tc>
        <w:tc>
          <w:tcPr>
            <w:tcW w:w="1276" w:type="dxa"/>
            <w:noWrap w:val="1"/>
            <w:vAlign w:val="center"/>
          </w:tcPr>
          <w:p w14:paraId="4CCB6302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通讯地址</w:t>
            </w:r>
          </w:p>
        </w:tc>
        <w:tc>
          <w:tcPr>
            <w:tcW w:w="1559" w:type="dxa"/>
            <w:gridSpan w:val="2"/>
            <w:noWrap w:val="1"/>
            <w:vAlign w:val="center"/>
          </w:tcPr>
          <w:p w14:paraId="31A2254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单位性质</w:t>
            </w:r>
          </w:p>
        </w:tc>
        <w:tc>
          <w:tcPr>
            <w:tcW w:w="1417" w:type="dxa"/>
            <w:gridSpan w:val="2"/>
            <w:noWrap w:val="1"/>
            <w:vAlign w:val="center"/>
          </w:tcPr>
          <w:p w14:paraId="347D2807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项目联系人</w:t>
            </w:r>
          </w:p>
        </w:tc>
        <w:tc>
          <w:tcPr>
            <w:tcW w:w="993" w:type="dxa"/>
            <w:noWrap w:val="1"/>
            <w:vAlign w:val="center"/>
          </w:tcPr>
          <w:p w14:paraId="40756B76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手机</w:t>
            </w:r>
          </w:p>
        </w:tc>
        <w:tc>
          <w:tcPr>
            <w:tcW w:w="1275" w:type="dxa"/>
            <w:noWrap w:val="1"/>
            <w:vAlign w:val="center"/>
          </w:tcPr>
          <w:p w14:paraId="73A85C50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电子邮箱</w:t>
            </w: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68DABBC1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</w:t>
            </w:r>
          </w:p>
        </w:tc>
        <w:tc>
          <w:tcPr>
            <w:tcW w:w="1227" w:type="dxa"/>
            <w:noWrap w:val="1"/>
            <w:vAlign w:val="center"/>
          </w:tcPr>
          <w:p w14:paraId="2A61CB0F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牵头单位</w:t>
            </w:r>
          </w:p>
        </w:tc>
        <w:tc>
          <w:tcPr>
            <w:tcW w:w="1183" w:type="dxa"/>
            <w:gridSpan w:val="3"/>
            <w:vAlign w:val="center"/>
          </w:tcPr>
          <w:p w14:paraId="04B7C02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6" w:type="dxa"/>
            <w:noWrap w:val="1"/>
            <w:vAlign w:val="center"/>
          </w:tcPr>
          <w:p w14:paraId="1853CA3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559" w:type="dxa"/>
            <w:gridSpan w:val="2"/>
            <w:noWrap w:val="1"/>
            <w:vAlign w:val="center"/>
          </w:tcPr>
          <w:p w14:paraId="6180D02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417" w:type="dxa"/>
            <w:gridSpan w:val="2"/>
            <w:noWrap w:val="1"/>
            <w:vAlign w:val="center"/>
          </w:tcPr>
          <w:p w14:paraId="25BF63C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3A62C44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7A1161A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0E0C4051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</w:t>
            </w:r>
          </w:p>
        </w:tc>
        <w:tc>
          <w:tcPr>
            <w:tcW w:w="1227" w:type="dxa"/>
            <w:noWrap w:val="1"/>
            <w:vAlign w:val="center"/>
          </w:tcPr>
          <w:p w14:paraId="070C0FF0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联合单位</w:t>
            </w:r>
          </w:p>
        </w:tc>
        <w:tc>
          <w:tcPr>
            <w:tcW w:w="1183" w:type="dxa"/>
            <w:gridSpan w:val="3"/>
            <w:vAlign w:val="center"/>
          </w:tcPr>
          <w:p w14:paraId="74CC199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6" w:type="dxa"/>
            <w:noWrap w:val="1"/>
            <w:vAlign w:val="center"/>
          </w:tcPr>
          <w:p w14:paraId="54FF9B6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559" w:type="dxa"/>
            <w:gridSpan w:val="2"/>
            <w:noWrap w:val="1"/>
            <w:vAlign w:val="center"/>
          </w:tcPr>
          <w:p w14:paraId="6CFA034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417" w:type="dxa"/>
            <w:gridSpan w:val="2"/>
            <w:noWrap w:val="1"/>
            <w:vAlign w:val="center"/>
          </w:tcPr>
          <w:p w14:paraId="4E5BB4F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2F3A7EB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721BE62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2C2038FC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</w:t>
            </w:r>
          </w:p>
        </w:tc>
        <w:tc>
          <w:tcPr>
            <w:tcW w:w="1227" w:type="dxa"/>
            <w:noWrap w:val="1"/>
            <w:vAlign w:val="center"/>
          </w:tcPr>
          <w:p w14:paraId="6B36F1DD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联合单位</w:t>
            </w:r>
          </w:p>
        </w:tc>
        <w:tc>
          <w:tcPr>
            <w:tcW w:w="1183" w:type="dxa"/>
            <w:gridSpan w:val="3"/>
            <w:vAlign w:val="center"/>
          </w:tcPr>
          <w:p w14:paraId="35E98EB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6" w:type="dxa"/>
            <w:noWrap w:val="1"/>
            <w:vAlign w:val="center"/>
          </w:tcPr>
          <w:p w14:paraId="5C14DDD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559" w:type="dxa"/>
            <w:gridSpan w:val="2"/>
            <w:noWrap w:val="1"/>
            <w:vAlign w:val="center"/>
          </w:tcPr>
          <w:p w14:paraId="278E84E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417" w:type="dxa"/>
            <w:gridSpan w:val="2"/>
            <w:noWrap w:val="1"/>
            <w:vAlign w:val="center"/>
          </w:tcPr>
          <w:p w14:paraId="218C591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2041DD4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19D1FF0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9629" w:type="dxa"/>
            <w:gridSpan w:val="12"/>
            <w:shd w:val="clear" w:color="auto" w:fill="F2F2F2" w:themeFill="background1" w:themeFillShade="F2"/>
            <w:vAlign w:val="center"/>
          </w:tcPr>
          <w:p w14:paraId="09182F59">
            <w:pPr>
              <w:widowControl w:val="1"/>
              <w:jc w:val="center"/>
              <w:rPr>
                <w:rFonts w:hint="eastAsia" w:ascii="黑体" w:hAnsi="黑体" w:eastAsia="黑体" w:cs="Times New Roman"/>
                <w:color w:val="000000"/>
                <w:sz w:val="24"/>
              </w:rPr>
            </w:pPr>
            <w:r>
              <w:rPr>
                <w:rFonts w:hint="eastAsia" w:ascii="黑体" w:hAnsi="黑体" w:eastAsia="黑体" w:cs="Times New Roman"/>
                <w:color w:val="000000"/>
                <w:sz w:val="24"/>
              </w:rPr>
              <w:t>团 队 成 员</w:t>
            </w:r>
          </w:p>
          <w:p w14:paraId="7FDD1097">
            <w:pPr>
              <w:jc w:val="left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color w:val="EE0000"/>
                <w:sz w:val="24"/>
              </w:rPr>
              <w:t>(按照贡献度进行排序，一等奖授奖人数不超过15人，二等奖授奖人数不超过10人，三等奖授奖人数不超过7人，其他奖项人数不超过5人)</w:t>
            </w: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4B50924C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序号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6D095276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姓名</w:t>
            </w:r>
          </w:p>
        </w:tc>
        <w:tc>
          <w:tcPr>
            <w:tcW w:w="709" w:type="dxa"/>
            <w:noWrap w:val="1"/>
            <w:vAlign w:val="center"/>
          </w:tcPr>
          <w:p w14:paraId="19AD6571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性别</w:t>
            </w:r>
          </w:p>
        </w:tc>
        <w:tc>
          <w:tcPr>
            <w:tcW w:w="1701" w:type="dxa"/>
            <w:gridSpan w:val="2"/>
            <w:vAlign w:val="center"/>
          </w:tcPr>
          <w:p w14:paraId="2C195B2C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工作单位</w:t>
            </w:r>
          </w:p>
        </w:tc>
        <w:tc>
          <w:tcPr>
            <w:tcW w:w="1275" w:type="dxa"/>
            <w:noWrap w:val="1"/>
            <w:vAlign w:val="center"/>
          </w:tcPr>
          <w:p w14:paraId="63CB6686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单位职务</w:t>
            </w:r>
          </w:p>
        </w:tc>
        <w:tc>
          <w:tcPr>
            <w:tcW w:w="709" w:type="dxa"/>
            <w:gridSpan w:val="2"/>
            <w:vAlign w:val="center"/>
          </w:tcPr>
          <w:p w14:paraId="0D28FDB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职称</w:t>
            </w:r>
          </w:p>
        </w:tc>
        <w:tc>
          <w:tcPr>
            <w:tcW w:w="992" w:type="dxa"/>
            <w:vAlign w:val="center"/>
          </w:tcPr>
          <w:p w14:paraId="789A49EA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证件号</w:t>
            </w:r>
          </w:p>
        </w:tc>
        <w:tc>
          <w:tcPr>
            <w:tcW w:w="993" w:type="dxa"/>
            <w:noWrap w:val="1"/>
            <w:vAlign w:val="center"/>
          </w:tcPr>
          <w:p w14:paraId="5212A08D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手机</w:t>
            </w:r>
          </w:p>
        </w:tc>
        <w:tc>
          <w:tcPr>
            <w:tcW w:w="1275" w:type="dxa"/>
            <w:noWrap w:val="1"/>
            <w:vAlign w:val="center"/>
          </w:tcPr>
          <w:p w14:paraId="2FA61585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电子邮箱</w:t>
            </w: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01D00088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23B113E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5B55957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7D5382B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07CB99A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28D355F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E96CA7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09E10A6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1957B6A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63A13A0D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3B3CF0B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2BEAACB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64EFB57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5B11E57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89D898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2EB2FFA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240769B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4B6E569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30F3CC0A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13E7676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2F760CF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5EDB5A6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202928D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6610BC1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2B0D6F9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3D7FB40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672A29C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166B5F62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4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3036F75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47BA813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58FB196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340B68A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34B9AFE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529DC20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092863B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6D86955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6EDE41DC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5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5F917C5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6B5B491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2810593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163A724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B3E366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7CBAD56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2698C5A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4DE3623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42174440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6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11A219C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12C3A88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7726317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0F439E6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3021CED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1C08984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10C76A1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4D3CA21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3A4DC007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7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53CC967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6AB66AB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7327D8F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5ABCA08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1167387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FEE8D9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3DB9C71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1B16DDC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2B866DBE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8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5F2CD9B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56A9AE4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68ECCD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6F55ADD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44FB31D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73B35D5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430FDB5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525DAC0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313143E8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9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4A06EEF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070AC28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2D5FA2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25EB8C9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587CE9B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B20386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2E1F9B9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0DA1764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3F3BEDD4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10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791FBF0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51F111D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28454C7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0593BE1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0FF01CB3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989B62E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031EAA3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4A7435C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3DFA4119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11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44A0392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51BD0AD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5C55E87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66C421E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0D56753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48DC6D7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4B6052E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495A797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246C215B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12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63485FE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6A93CB1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2E38866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2DF496B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1B47706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1EB1066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084F5A1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6740C2F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75564103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13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0908F70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37FA2AA7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1343115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0EFD648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2A05E5F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3F54B9B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30652155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32BC85C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141270AF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14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2279987B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2DDB754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572F39C0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49C7587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7F9A6FC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62BFF4BF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791D252A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6E27BE08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699" w:type="dxa"/>
            <w:noWrap w:val="1"/>
            <w:vAlign w:val="center"/>
          </w:tcPr>
          <w:p w14:paraId="1EFB534E">
            <w:pPr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15</w:t>
            </w:r>
          </w:p>
        </w:tc>
        <w:tc>
          <w:tcPr>
            <w:tcW w:w="1276" w:type="dxa"/>
            <w:gridSpan w:val="2"/>
            <w:noWrap w:val="1"/>
            <w:vAlign w:val="center"/>
          </w:tcPr>
          <w:p w14:paraId="2AB78E0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noWrap w:val="1"/>
            <w:vAlign w:val="center"/>
          </w:tcPr>
          <w:p w14:paraId="5ED0B9A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086FE37D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4776EA62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709" w:type="dxa"/>
            <w:gridSpan w:val="2"/>
            <w:vAlign w:val="center"/>
          </w:tcPr>
          <w:p w14:paraId="380A7F61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2" w:type="dxa"/>
            <w:vAlign w:val="center"/>
          </w:tcPr>
          <w:p w14:paraId="05C5748C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993" w:type="dxa"/>
            <w:noWrap w:val="1"/>
            <w:vAlign w:val="center"/>
          </w:tcPr>
          <w:p w14:paraId="0314DD34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  <w:tc>
          <w:tcPr>
            <w:tcW w:w="1275" w:type="dxa"/>
            <w:noWrap w:val="1"/>
            <w:vAlign w:val="center"/>
          </w:tcPr>
          <w:p w14:paraId="5276CC29">
            <w:pPr>
              <w:jc w:val="center"/>
              <w:rPr>
                <w:rFonts w:hint="eastAsia" w:ascii="仿宋" w:hAnsi="仿宋" w:eastAsia="仿宋"/>
                <w:sz w:val="24"/>
              </w:rPr>
            </w:pPr>
          </w:p>
        </w:tc>
      </w:tr>
      <w:tr>
        <w:trPr>
          <w:trHeight w:val="20"/>
          <w:jc w:val="center"/>
        </w:trPr>
        <w:tc>
          <w:tcPr>
            <w:tcW w:w="9629" w:type="dxa"/>
            <w:gridSpan w:val="12"/>
            <w:shd w:val="clear" w:color="auto" w:fill="F2F2F2" w:themeFill="background1" w:themeFillShade="F2"/>
            <w:noWrap w:val="1"/>
            <w:vAlign w:val="center"/>
          </w:tcPr>
          <w:p w14:paraId="6D040BAE">
            <w:pPr>
              <w:ind w:left="468" w:hanging="468" w:hangingChars="195"/>
              <w:jc w:val="left"/>
              <w:rPr>
                <w:rFonts w:hint="eastAsia" w:ascii="仿宋" w:hAnsi="仿宋" w:eastAsia="仿宋"/>
                <w:sz w:val="24"/>
                <w:u w:val="single"/>
              </w:rPr>
            </w:pPr>
            <w:r>
              <w:rPr>
                <w:rFonts w:hint="eastAsia" w:ascii="仿宋" w:hAnsi="仿宋" w:eastAsia="仿宋"/>
                <w:color w:val="EE0000"/>
                <w:sz w:val="24"/>
                <w:u w:val="single"/>
              </w:rPr>
              <w:t>注：1、此表格信息请与系统填报信息保持一致，确认无误后请盖公章并上传报名系统，最终获奖证书信息将以此为准，一经提交不可修改。</w:t>
            </w:r>
          </w:p>
        </w:tc>
      </w:tr>
    </w:tbl>
    <w:p w14:paraId="0EEAB891">
      <w:pPr>
        <w:pStyle w:val="00000d"/>
      </w:pPr>
    </w:p>
    <w:p w14:paraId="5DB75729">
      <w:pPr>
        <w:pStyle w:val="000009"/>
      </w:pPr>
      <w:r>
        <w:rPr>
          <w:rFonts w:hint="eastAsia"/>
        </w:rPr>
        <w:t>第四部分：项目概要</w:t>
      </w:r>
    </w:p>
    <w:p w14:paraId="5D979A7B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color w:val="EE0000"/>
          <w:sz w:val="24"/>
          <w:szCs w:val="22"/>
        </w:rPr>
      </w:pPr>
      <w:r>
        <w:rPr>
          <w:rFonts w:hint="eastAsia" w:ascii="仿宋" w:hAnsi="仿宋" w:eastAsia="仿宋" w:cs="Times New Roman"/>
          <w:color w:val="EE0000"/>
          <w:sz w:val="24"/>
          <w:szCs w:val="22"/>
        </w:rPr>
        <w:t>本部分主要用于对外宣传展示。语言力求精炼、生动，直接呈现结论与亮点，不做展开论证。</w:t>
      </w:r>
    </w:p>
    <w:p w14:paraId="1C0E51AE">
      <w:pPr>
        <w:keepNext w:val="1"/>
        <w:keepLines w:val="1"/>
        <w:numPr>
          <w:ilvl w:val="0"/>
          <w:numId w:val="3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案例-摘要（300字）</w:t>
      </w:r>
    </w:p>
    <w:p w14:paraId="6C603063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B2B 销售普遍存在客户信息分散、商机推进凭经验、超权限报价失控、AI 建议不可溯源等痛点。本项目研发 AI 原生智能销售管理平台（CRM-AI-Native），构建“业务 3＋技术 3＋平台 2”能力体系：集成 BANT、MEDDICC 等 15 个成熟销售方法论 SKILL，植入 21 条可测评行为标准，内嵌 LTC 全链路流程；基于上下文图谱构建客户记忆系统，写库即构建、语义检索秒级命中；销售决策模型可跟踪每个智能体任务，写操作必经决策第 0 闸并全程留痕；复盘智能体每日自动复盘，经验每天被沉淀；认知驱动决策引擎（K-M-D）让每次判断走完“知识—方法—校验”，多行业零代码配置上线。平台已在制造、医疗器械、化工等行业真实 B2B 销售业务中落地运行。</w:t>
      </w:r>
    </w:p>
    <w:p w14:paraId="412D3E4D">
      <w:pPr>
        <w:keepNext w:val="1"/>
        <w:keepLines w:val="1"/>
        <w:numPr>
          <w:ilvl w:val="0"/>
          <w:numId w:val="3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案例-主要创新（100字）</w:t>
      </w:r>
    </w:p>
    <w:p w14:paraId="7FBBDF05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①15 个方法论 SKILL 化，判断自动装配；②K-M-D 引擎 8 项校验走确定性规则、可复现；③写时向量化记忆，零填表秒级命中；④写操作必经决策第 0 闸，全程留痕；⑤多行业零代码配置上线。</w:t>
      </w:r>
    </w:p>
    <w:p w14:paraId="6567B4DB">
      <w:pPr>
        <w:keepNext w:val="1"/>
        <w:keepLines w:val="1"/>
        <w:numPr>
          <w:ilvl w:val="0"/>
          <w:numId w:val="3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案例-应用成效（100字）</w:t>
      </w:r>
    </w:p>
    <w:p w14:paraId="56922114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平台已在真实 B2B 销售业务运行：智能接诊平均响应 1.2 分钟、报价测算 42 秒、线索零漏接；超权限报价强制审批闭环，客户全景 10 秒可查，行为达标率实时可见，管理与合规风险显著下降。</w:t>
      </w:r>
    </w:p>
    <w:p w14:paraId="3F0BEF35">
      <w:pPr>
        <w:keepNext w:val="1"/>
        <w:keepLines w:val="1"/>
        <w:numPr>
          <w:ilvl w:val="0"/>
          <w:numId w:val="3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案例-项目背景（300字）</w:t>
      </w:r>
    </w:p>
    <w:p w14:paraId="47E49028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中国 B2B 企业销售长期依赖个人经验，存在三大核心矛盾：其一，客户知识随人员流动而流失，商机、报价、合同等数据孤立存储，新销售接手需数周重新摸底；其二，销售动作缺乏标准，拜访、报价、阶段推进凭感觉，丢单原因难以归因；其三，AI 应用停留在“问答助手”层面，建议不可解释、写操作不可控，企业不敢放权。随着大模型与智能体技术成熟，市场亟需一套把销售方法论、行为习惯与 LTC 流程装进系统、让判断可解释可审计的 AI 原生销售管理平台。本项目针对上述痛点，以算力与大模型能力为底座，重构 B2B 销售的作业与决策方式。</w:t>
      </w:r>
    </w:p>
    <w:p w14:paraId="267B2872">
      <w:pPr>
        <w:keepNext w:val="1"/>
        <w:keepLines w:val="1"/>
        <w:numPr>
          <w:ilvl w:val="0"/>
          <w:numId w:val="3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案例-项目方案（800字）</w:t>
      </w:r>
    </w:p>
    <w:p w14:paraId="5DCB760E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平台采用四层架构：数据与记忆层（PostgreSQL 16＋pgvector 向量库＋知识图谱，写库即构建）、平台层（多智能体编排、MCP 协议标准化接入、SSE 事件总线）、认知决策层（K-M-D 三层管道）、业务应用层（客户 360、商机、报价、审批、合同、计费、看板）。业务侧三大能力：一是集成 15 个成熟销售方法论 SKILL（BANT 线索初筛、MEDDICC 机会评估、三级报价、风险权衡等），覆盖线索到成交每一步决策；二是植入 21 条可测评行为标准，拜访闭环留痕、阶段动作标尺化、达标看板实时亮灯；三是 LTC 流程内嵌，线索—商机—方案—报价—合同—交付—回款—复盘全链路一条轨道，链路断裂自动预警、回款逾期分级催收。技术侧三大能力：一是上下文图谱客户记忆系统，自动沉淀客户业务、决策链、竞争情报等五类高频记忆；二是销售决策模型可跟踪每个智能体任务，写操作必经决策第 0 闸，七类决策边全程留痕，事件驱动自动派发；三是复盘智能体每日自动复盘，七类根因归因，处方审批后沉淀。平台侧：K-M-D 引擎——K 知识层装配客户记忆与租户 Know-How，M 方法层按场景装载方法论与行为标准，D 决策层九尺子校验（8 项确定性判定＋可选 LLM 精评），输出九列可解释决策记录；多行业零代码配置，实体、阶段、审批、领域计算全部由租户配置画像声明。性能指标：智能接诊平均响应 1.2 分钟，报价测算 42 秒，多租户数据严格隔离，支持公有云与私有化部署。</w:t>
      </w:r>
    </w:p>
    <w:p w14:paraId="617CCC5A">
      <w:pPr>
        <w:keepNext w:val="1"/>
        <w:keepLines w:val="1"/>
        <w:numPr>
          <w:ilvl w:val="0"/>
          <w:numId w:val="3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案例-创新点（500字）</w:t>
      </w:r>
    </w:p>
    <w:p w14:paraId="0BB88DA9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1）方法论 SKILL 化：常规 CRM 把方法论印在培训手册里，本项目将 15 个方法论做成带权重与必填维度的 SKILL，每次判断自动装配、强制执行，方法论从“墙上的字”变成“默认动作”。2）K-M-D 认知决策引擎：常规 AI 助手输出不可解释，本项目九尺子校验中 8 项走确定性规则（同一输入必得同一分），输出九列决策记录，可从结论追回每条假设与概念引用，黑箱变白箱。3）写时向量化客户记忆：写入即生成图谱关系与向量索引，五类记忆自动沉淀，“上次那套系统再来一套”零填表秒级出单，人走经验不走。4）决策第 0 闸：常规系统写操作无治理，本项目每个写操作携带决策 ID，超权限报价强制触发审批流，杜绝线下私自报价。5）多行业零代码配置：一个行业等于一份租户配置画像，新增行业不新增代码、不污染其他租户，同一套内核多行业并行。</w:t>
      </w:r>
    </w:p>
    <w:p w14:paraId="421F54A0">
      <w:pPr>
        <w:keepNext w:val="1"/>
        <w:keepLines w:val="1"/>
        <w:numPr>
          <w:ilvl w:val="0"/>
          <w:numId w:val="3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案例-应用效益（500字）</w:t>
      </w:r>
    </w:p>
    <w:p w14:paraId="46FE5BDC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内部效益：效率提升——智能接诊平均 1.2 分钟响应、报价测算 42 秒、跟进催办自动化，销售从事务性工作转向高价值客户经营；风险控制——超权限报价强制审批、验收口径书面锁定、回款逾期分级催收，合同与回款风险显著收敛；经验沉淀——复盘智能体每日归因，试点期行为达标率 82% 实时可见，新销售 10 秒看懂客户前因后果，人员流动不再带走客户与经验。外部效益：客户侧，报价有依据、响应更及时，客户满意度提升；行业侧，平台面向制造、医疗器械、化工等 B2B 行业以多租户零代码方式复制，帮助中小企业低门槛获得大厂级销售管理能力；社会侧，推动 B2B 销售从“凭关系、凭经验”走向“凭方法、凭数据”的数字化经营范式。算力赋能价值：确定性规则前置分担大量重复判断，LLM 调用集中在高价值推理环节，单位决策算力成本可控，体现“算力用在刀刃上”。</w:t>
      </w:r>
    </w:p>
    <w:p w14:paraId="2716E9AE">
      <w:pPr>
        <w:keepNext w:val="1"/>
        <w:keepLines w:val="1"/>
        <w:numPr>
          <w:ilvl w:val="0"/>
          <w:numId w:val="3"/>
        </w:numPr>
        <w:spacing w:before="260" w:after="260" w:line="415" w:lineRule="auto"/>
        <w:outlineLvl w:val="2"/>
        <w:rPr>
          <w:rFonts w:hint="eastAsia" w:ascii="楷体" w:hAnsi="楷体" w:eastAsia="楷体" w:cs="Times New Roman"/>
          <w:bCs w:val="1"/>
          <w:sz w:val="30"/>
          <w:szCs w:val="32"/>
        </w:rPr>
      </w:pPr>
      <w:r>
        <w:rPr>
          <w:rFonts w:hint="eastAsia" w:ascii="楷体" w:hAnsi="楷体" w:eastAsia="楷体" w:cs="Times New Roman"/>
          <w:bCs w:val="1"/>
          <w:sz w:val="30"/>
          <w:szCs w:val="32"/>
        </w:rPr>
        <w:t>案例-项目代表图片</w:t>
      </w:r>
    </w:p>
    <w:p w14:paraId="350F7B1F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至少一张项目代表图，一张技术架构图</w:t>
      </w:r>
    </w:p>
    <w:p w14:paraId="2DF335F8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图片要求：JPG或PNG格式，16:9，分辨率不低于1080P、100dpi。</w:t>
      </w:r>
    </w:p>
    <w:p w14:paraId="666A3F89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项目代表图：用于项目宣传封面。</w:t>
      </w:r>
    </w:p>
    <w:p w14:paraId="15145FCF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技术架构图：项目方案技术系统的组成及关系、所用的技术特点等。</w:t>
      </w:r>
    </w:p>
    <w:p w14:paraId="49AC5766">
      <w:pPr>
        <w:pStyle w:val="00000d"/>
      </w:pPr>
    </w:p>
    <w:p w14:paraId="73A1BDAB">
      <w:pPr>
        <w:pStyle w:val="000009"/>
      </w:pPr>
      <w:r>
        <w:rPr>
          <w:rFonts w:hint="eastAsia"/>
        </w:rPr>
        <w:t>第五部分：申报方案</w:t>
      </w:r>
    </w:p>
    <w:p w14:paraId="1EF62C41">
      <w:pPr>
        <w:widowControl w:val="1"/>
        <w:spacing w:line="360" w:lineRule="auto"/>
        <w:ind w:firstLine="480" w:firstLineChars="200"/>
        <w:jc w:val="left"/>
        <w:rPr>
          <w:rFonts w:hint="eastAsia" w:ascii="仿宋" w:hAnsi="仿宋" w:eastAsia="仿宋" w:cs="Times New Roman"/>
          <w:color w:val="EE0000"/>
          <w:sz w:val="24"/>
          <w:szCs w:val="22"/>
        </w:rPr>
      </w:pPr>
      <w:r>
        <w:rPr>
          <w:rFonts w:hint="eastAsia" w:ascii="仿宋" w:hAnsi="仿宋" w:eastAsia="仿宋" w:cs="Times New Roman"/>
          <w:color w:val="EE0000"/>
          <w:sz w:val="24"/>
          <w:szCs w:val="22"/>
        </w:rPr>
        <w:t>本部分用于评审打分和先进性研判。</w:t>
      </w:r>
    </w:p>
    <w:p w14:paraId="650C7913">
      <w:pPr>
        <w:pStyle w:val="000020"/>
        <w:numPr>
          <w:ilvl w:val="0"/>
          <w:numId w:val="4"/>
        </w:numPr>
      </w:pPr>
      <w:r>
        <w:rPr>
          <w:rFonts w:hint="eastAsia"/>
        </w:rPr>
        <w:t>技术方案（4000字）</w:t>
      </w:r>
    </w:p>
    <w:p w14:paraId="2A8DC856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平台采用“多层解耦、配置驱动”的云原生架构。（1）基础设施层：PostgreSQL 16 关系库＋pgvector 向量扩展＋pgcrypto 加密，支持 Docker 容器化部署；全库按 tenant_id 逻辑隔离，租户用户只读本租户数据。（2）数据与记忆层：本体引擎把客户、商机、报价、合同、回款等实体连成知识图谱，写库即构建——数据写入的同时生成实体关系与向量索引；记忆系统自动沉淀客户业务、组织决策链、竞争情报、我方内部、风险五类高频记忆。（3）平台层：多智能体编排引擎按事件驱动派发接诊分流、报价测算、跟进催办、评审把关等专职智能体；智能体经 MCP 协议标准化暴露工具能力；SSE 事件总线实时驱动看板与预警；写操作白名单＋确认令牌双层治理。（4）认知决策层：K-M-D 三层管道。K 知识层自动装配客户记忆、租户 Know-How（ICP 画像/竞品对比/客户异议/买家语言）与同类先例；M 方法层按场景装载方法论 SKILL 与行为标准，每条带权重与必填维度；D 决策层九尺子校验（清晰性/准确性/精确性/相关性/深度/广度/逻辑性/重要性/公平性，0–4 分制），其中 8 项由确定性代码规则判定——同一输入必得同一分、无证据计 0 分，仅清晰性 1 项允许 LLM 精评且默认关闭，关闭时走确定性代理并标记降级，绝不假填充。（5）业务应用层：客户 360、商机阶段推进、三级报价、审批流引擎、合同与计费（席位/Token 配额/功能权益三闸）、经营看板。先进性对比：其一，决策可复现——主流 AI CRM 的建议是“模型一句话”，本项目 8/9 校验走确定性规则，判断质量可量化、可追问、可复现；其二，记忆成体系——主流方案靠人工录入客户资料，本项目写时向量化＋自动沉淀，零填表；其三，治理内建——写操作必经决策第 0 闸并携带决策 ID，治理能力原生内建而非事后补丁。绿色节能：确定性规则前置过滤显著减少 LLM 调用量，单位决策算力成本下降，避免“全靠大模型”的高能耗路径。</w:t>
      </w:r>
    </w:p>
    <w:p w14:paraId="1C4B5D71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功能体系与业务流程：系统介绍项目实现的核心功能模块与关键业务流程，说明各模块间的运行机制与协同关系，逻辑应清晰完整，充分体现方案的系统性。</w:t>
      </w:r>
    </w:p>
    <w:p w14:paraId="124C757F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资源配置：明确项目所需的硬件、软件及人力资源配置，特别是算力规模、存储容量与网络资源等关键信息，确保资源配置与项目目标、技术路线相匹配。</w:t>
      </w:r>
    </w:p>
    <w:p w14:paraId="1A443A84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部署分四步：第一步环境准备——容器化部署平台内核，初始化数据库与向量扩展；第二步租户开通——录入租户配置画像（行业实体、阶段流水线、审批域、领域计算公式），系统自动播种行业主数据，开通即用；第三步智能体接入——配置 MCP 连接，加载方法论 SKILL 与行为标准，联调接诊、报价、复盘智能体；第四步试运行与推广——真实商机试点 2–4 周，对照行为标准校准阈值，逐步放开自动化权限。预期效果：对现有销售管理的实质性变革体现在三方面。作业方式上，从“人找信息”变为“信息找人”：客户全景、跟进任务、风险预警自动推送，销售每天打开看板即可按标尺行动；管理方式上，从“凭汇报”变为“凭数据”：商机质量、行为达标率、回款风险实时可见，销售例会从追进度变成看板复盘；经营方式上，从“经验驱动”变为“决策驱动”：每一次报价、每一笔折扣都有决策 ID 与依据链，经营分析有据可查。方案科学性与落地可行性已经过真实 B2B 业务验证：平台已在制造、医疗器械、化工行业租户落地，覆盖商机、报价、审批、回款全流程，具备大规模复制部署条件。</w:t>
      </w:r>
    </w:p>
    <w:p w14:paraId="4685A854">
      <w:pPr>
        <w:pStyle w:val="000020"/>
        <w:numPr>
          <w:ilvl w:val="0"/>
          <w:numId w:val="4"/>
        </w:numPr>
      </w:pPr>
      <w:r>
        <w:rPr>
          <w:rFonts w:hint="eastAsia"/>
        </w:rPr>
        <w:t>创新点（1000字）</w:t>
      </w:r>
    </w:p>
    <w:p w14:paraId="10977835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一、技术架构创新。1）“写库即构建”的记忆架构：常规 CRM 数据写入即终点，检索靠人工维护标签；本项目写入同时自动生成知识图谱关系与向量索引，五类高频记忆自动沉淀，语义检索零填表秒级命中，记忆生产成本接近于零，领先于国内外同类产品需人工整理客户画像的做法。2）K-M-D 认知决策管道：决策拆为知识—方法—决策三层，每层可独立审计；D 层九尺子校验中 8 项采用确定性代码规则（0–4 分制、及格线配置化），同一输入必得同一分，从工程上杜绝“模型随口打分”；输出九列决策记录（目的、假设、推理、观点、影响、风险、止损、概念引用、评分），审计时可从结论一路追回每条假设的证据链，国内外同类 AI 销售产品尚无同粒度的可解释决策记录。3）决策第 0 闸写治理：所有写操作强制携带决策 ID，缺决策依据的写入被直接拒绝，配合动作白名单与确认令牌，AI 写入机制上可控、可审、可撤销。二、应用场景创新。4）方法论与行为标准 SKILL 化：15 个方法论不再是培训手册，而是带权重与必填维度的可执行装配单元，每次判断自动装载、缺输入即扣分预警；21 条行为标准逐条可测评，把“好销售的习惯”变成组织资产。5）复盘智能体每日归因：夜间批量扫描当日决策，七类根因分类，处方需人工审批后生效（不自批自方），教训变 SOP、成交变锚点，把“月度复盘会”升级为“每日自动飞轮”。三、运营模式创新。6）多行业零代码配置：一个行业等于一份租户配置画像，实体、阶段流水线、审批域、领域计算全部配置声明，销售阈值后台可调不发版；相比传统 CRM 按行业定制开发的交付模式，实施周期由月降至天，边际成本大幅下降，具备规模化复制条件。上述创新已形成软件著作权申请材料（程序鉴别材料 60 页、软件说明书 30 页），平台源代码规模 60290 行。</w:t>
      </w:r>
    </w:p>
    <w:p w14:paraId="1DEB4CFE">
      <w:pPr>
        <w:pStyle w:val="000020"/>
        <w:numPr>
          <w:ilvl w:val="0"/>
          <w:numId w:val="4"/>
        </w:numPr>
      </w:pPr>
      <w:r>
        <w:rPr>
          <w:rFonts w:hint="eastAsia"/>
        </w:rPr>
        <w:t>项目信息表（场景实测赛道）</w:t>
      </w:r>
    </w:p>
    <w:p w14:paraId="66F5678A">
      <w:pPr>
        <w:keepNext w:val="1"/>
        <w:keepLines w:val="1"/>
        <w:spacing w:before="260" w:after="260" w:line="413" w:lineRule="auto"/>
        <w:outlineLvl w:val="3"/>
        <w:rPr>
          <w:rFonts w:ascii="Calibri" w:hAnsi="Calibri" w:eastAsia="宋体" w:cs="Times New Roman"/>
          <w:b w:val="1"/>
          <w:sz w:val="32"/>
        </w:rPr>
      </w:pPr>
      <w:r>
        <w:rPr>
          <w:rFonts w:hint="eastAsia" w:ascii="Calibri" w:hAnsi="Calibri" w:eastAsia="宋体" w:cs="Times New Roman"/>
          <w:b w:val="1"/>
          <w:sz w:val="32"/>
        </w:rPr>
        <w:t>1.项目产品相关信息</w:t>
      </w:r>
    </w:p>
    <w:tbl>
      <w:tblPr>
        <w:tblW w:w="8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2405"/>
        <w:gridCol w:w="6035"/>
      </w:tblGrid>
      <w:tr>
        <w:trPr>
          <w:trHeight w:val="20"/>
        </w:trPr>
        <w:tc>
          <w:tcPr>
            <w:tcW w:w="240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6F920CF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项目名称</w:t>
            </w:r>
          </w:p>
        </w:tc>
        <w:tc>
          <w:tcPr>
            <w:tcW w:w="603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1087F41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AI 原生智能销售管理平台（CRM-AI-Native）</w:t>
            </w:r>
          </w:p>
        </w:tc>
      </w:tr>
      <w:tr>
        <w:trPr>
          <w:trHeight w:val="20"/>
        </w:trPr>
        <w:tc>
          <w:tcPr>
            <w:tcW w:w="240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718818B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项目编号</w:t>
            </w:r>
          </w:p>
        </w:tc>
        <w:tc>
          <w:tcPr>
            <w:tcW w:w="603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0D2831EB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20"/>
        </w:trPr>
        <w:tc>
          <w:tcPr>
            <w:tcW w:w="240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299F3F66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项目所属行业及场景</w:t>
            </w:r>
          </w:p>
        </w:tc>
        <w:tc>
          <w:tcPr>
            <w:tcW w:w="603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D5003F2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企业级 B2B 销售管理（制造、医疗器械、化工等行业）</w:t>
            </w:r>
          </w:p>
        </w:tc>
      </w:tr>
      <w:tr>
        <w:trPr>
          <w:trHeight w:val="20"/>
        </w:trPr>
        <w:tc>
          <w:tcPr>
            <w:tcW w:w="240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9B77D8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架构配置</w:t>
            </w:r>
          </w:p>
        </w:tc>
        <w:tc>
          <w:tcPr>
            <w:tcW w:w="603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6F571BCC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软件环境：Node.js 22 运行时、PostgreSQL 16（pgvector 向量库＋pgcrypto 加密）、Express 4；部署环境：Docker 容器化，支持公有云与私有化部署；集群规模：单租户 4 核 8G 云主机起步，随租户增长水平扩展，Nginx 统一入口＋MCP StreamableHTTP 通道。</w:t>
            </w:r>
          </w:p>
        </w:tc>
      </w:tr>
      <w:tr>
        <w:trPr>
          <w:trHeight w:val="20"/>
        </w:trPr>
        <w:tc>
          <w:tcPr>
            <w:tcW w:w="240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108CA8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应用场景描述</w:t>
            </w:r>
          </w:p>
        </w:tc>
        <w:tc>
          <w:tcPr>
            <w:tcW w:w="603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94E078A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应用场景：B2B 销售全流程管理（线索—商机—报价—合同—回款—复盘）。已上线运行；业务能力：智能接诊平均响应 1.2 分钟、报价测算 42 秒、线索零漏接，行为达标率 82%，超权限报价强制审批闭环。</w:t>
            </w:r>
          </w:p>
        </w:tc>
      </w:tr>
      <w:tr>
        <w:trPr>
          <w:trHeight w:val="20"/>
        </w:trPr>
        <w:tc>
          <w:tcPr>
            <w:tcW w:w="2405" w:type="dxa"/>
            <w:vMerge w:val="restar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621814C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核心功能模块</w:t>
            </w:r>
          </w:p>
        </w:tc>
        <w:tc>
          <w:tcPr>
            <w:tcW w:w="603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0E290B4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模块 1：智能接诊分流　功能说明：新询盘自动分流，BANT 打分决定跟进/培育/放弃　技术亮点：15 个方法论 SKILL 化、事件驱动自动派发</w:t>
            </w:r>
          </w:p>
        </w:tc>
      </w:tr>
      <w:tr>
        <w:trPr>
          <w:trHeight w:val="20"/>
        </w:trPr>
        <w:tc>
          <w:tcPr>
            <w:tcW w:w="2405" w:type="dxa"/>
            <w:vMerge w:val="continue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18519D43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603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0E0ADECC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模块 2：K-M-D 认知决策引擎　功能说明：每次判断走完知识—方法—校验，输出九列可解释决策记录　技术亮点：九尺子校验 8 项确定性规则判定，可复现可审计</w:t>
            </w:r>
          </w:p>
        </w:tc>
      </w:tr>
      <w:tr>
        <w:trPr>
          <w:trHeight w:val="20"/>
        </w:trPr>
        <w:tc>
          <w:tcPr>
            <w:tcW w:w="2405" w:type="dxa"/>
            <w:vMerge w:val="continue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140650F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6035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15DA69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模块 3：上下文图谱客户记忆系统　功能说明：写库即构建 KG＋向量索引，五类记忆自动沉淀，客户 360 正反向追溯　技术亮点：写时向量化、语义检索零填表秒级命中。模块 4：复盘智能体　功能说明：每日自动扫描决策、七类根因归因　技术亮点：处方审批后沉淀，教训变 SOP。</w:t>
            </w:r>
          </w:p>
        </w:tc>
      </w:tr>
    </w:tbl>
    <w:p w14:paraId="7A39228D">
      <w:pPr>
        <w:rPr>
          <w:rFonts w:hint="eastAsia"/>
        </w:rPr>
      </w:pPr>
    </w:p>
    <w:p w14:paraId="7CEF7414">
      <w:pPr>
        <w:keepNext w:val="1"/>
        <w:keepLines w:val="1"/>
        <w:spacing w:before="260" w:after="260" w:line="413" w:lineRule="auto"/>
        <w:outlineLvl w:val="3"/>
        <w:rPr>
          <w:rFonts w:ascii="Calibri" w:hAnsi="Calibri" w:eastAsia="宋体" w:cs="Times New Roman"/>
          <w:b w:val="1"/>
          <w:sz w:val="32"/>
        </w:rPr>
      </w:pPr>
      <w:r>
        <w:rPr>
          <w:rFonts w:hint="eastAsia" w:ascii="Calibri" w:hAnsi="Calibri" w:eastAsia="宋体" w:cs="Times New Roman"/>
          <w:b w:val="1"/>
          <w:sz w:val="32"/>
        </w:rPr>
        <w:t>2.项目产品技术白皮书</w:t>
      </w:r>
    </w:p>
    <w:p w14:paraId="09452306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产品简介、产品架构、核心设计、技术优势等</w:t>
      </w:r>
    </w:p>
    <w:p w14:paraId="3C5D451E">
      <w:pPr>
        <w:pStyle w:val="000020"/>
        <w:pageBreakBefore w:val="1"/>
        <w:numPr>
          <w:ilvl w:val="0"/>
          <w:numId w:val="4"/>
        </w:numPr>
      </w:pPr>
      <w:r>
        <w:rPr>
          <w:rFonts w:hint="eastAsia"/>
        </w:rPr>
        <w:t>项目信息表（基准跑分赛道）</w:t>
      </w:r>
    </w:p>
    <w:p w14:paraId="456AB861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基准跑分赛道设全域基准测评赛、算子性能优化赛、大模型推理提效赛、行业智能体实战赛四项赛题，四项赛题选其中一项即可。其中全域基准测评赛不限定固定数据集与模型范畴，其余三项专项划定专属数据集、模型规格与优化目标等。</w:t>
      </w:r>
    </w:p>
    <w:p w14:paraId="6131629E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根据项目情况涉及内容填写。</w:t>
      </w:r>
    </w:p>
    <w:tbl>
      <w:tblPr>
        <w:tblW w:w="84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696"/>
        <w:gridCol w:w="6744"/>
      </w:tblGrid>
      <w:tr>
        <w:trPr>
          <w:trHeight w:val="454"/>
        </w:trPr>
        <w:tc>
          <w:tcPr>
            <w:tcW w:w="1696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3EA1359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项目名称</w:t>
            </w:r>
          </w:p>
        </w:tc>
        <w:tc>
          <w:tcPr>
            <w:tcW w:w="6744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4992CFA8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1696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33A6C0F2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项目编号</w:t>
            </w:r>
          </w:p>
        </w:tc>
        <w:tc>
          <w:tcPr>
            <w:tcW w:w="6744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1F44D0DE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1696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B4E013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项目类型</w:t>
            </w:r>
          </w:p>
        </w:tc>
        <w:tc>
          <w:tcPr>
            <w:tcW w:w="6744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5A91757E">
            <w:pPr>
              <w:pStyle w:val="000024"/>
              <w:numPr>
                <w:ilvl w:val="0"/>
                <w:numId w:val="5"/>
              </w:numPr>
              <w:snapToGrid w:val="0"/>
              <w:spacing w:after="156" w:afterLines="50"/>
              <w:ind w:left="442" w:hanging="442" w:firstLineChars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b w:val="1"/>
                <w:bCs w:val="1"/>
                <w:sz w:val="24"/>
              </w:rPr>
              <w:t>全域基准测评赛</w:t>
            </w:r>
            <w:r>
              <w:rPr>
                <w:rFonts w:hint="eastAsia" w:ascii="仿宋" w:hAnsi="仿宋" w:eastAsia="仿宋" w:cs="Times New Roman"/>
                <w:sz w:val="24"/>
              </w:rPr>
              <w:t xml:space="preserve">：□大模型 □智能体 □训推一体机 </w:t>
            </w:r>
            <w:r>
              <w:rPr>
                <w:rFonts w:ascii="仿宋" w:hAnsi="仿宋" w:eastAsia="仿宋" w:cs="Times New Roman"/>
                <w:sz w:val="24"/>
              </w:rPr>
              <w:br w:type="textWrapping"/>
            </w:r>
            <w:r>
              <w:rPr>
                <w:rFonts w:hint="eastAsia" w:ascii="仿宋" w:hAnsi="仿宋" w:eastAsia="仿宋" w:cs="Times New Roman"/>
                <w:sz w:val="24"/>
              </w:rPr>
              <w:t>□推理一体机 □MaaS平台运营 □其他__________</w:t>
            </w:r>
          </w:p>
          <w:p w14:paraId="19554CCD">
            <w:pPr>
              <w:pStyle w:val="000024"/>
              <w:numPr>
                <w:ilvl w:val="0"/>
                <w:numId w:val="5"/>
              </w:numPr>
              <w:snapToGrid w:val="0"/>
              <w:spacing w:after="156" w:afterLines="50"/>
              <w:ind w:left="442" w:hanging="442" w:firstLineChars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b w:val="1"/>
                <w:bCs w:val="1"/>
                <w:sz w:val="24"/>
              </w:rPr>
              <w:t>算子性能优化赛</w:t>
            </w:r>
            <w:r>
              <w:rPr>
                <w:rFonts w:hint="eastAsia" w:ascii="仿宋" w:hAnsi="仿宋" w:eastAsia="仿宋" w:cs="Times New Roman"/>
                <w:sz w:val="24"/>
              </w:rPr>
              <w:t>：□算子功能兼容性优化</w:t>
            </w:r>
            <w:r>
              <w:rPr>
                <w:rFonts w:ascii="仿宋" w:hAnsi="仿宋" w:eastAsia="仿宋" w:cs="Times New Roman"/>
                <w:sz w:val="24"/>
              </w:rPr>
              <w:t xml:space="preserve"> </w:t>
            </w:r>
            <w:r>
              <w:rPr>
                <w:rFonts w:ascii="仿宋" w:hAnsi="仿宋" w:eastAsia="仿宋" w:cs="Times New Roman"/>
                <w:sz w:val="24"/>
              </w:rPr>
              <w:br w:type="textWrapping"/>
            </w:r>
            <w:r>
              <w:rPr>
                <w:rFonts w:hint="eastAsia" w:ascii="仿宋" w:hAnsi="仿宋" w:eastAsia="仿宋" w:cs="Times New Roman"/>
                <w:sz w:val="24"/>
              </w:rPr>
              <w:t>□算子执行性能优化</w:t>
            </w:r>
            <w:r>
              <w:rPr>
                <w:rFonts w:ascii="仿宋" w:hAnsi="仿宋" w:eastAsia="仿宋" w:cs="Times New Roman"/>
                <w:sz w:val="24"/>
              </w:rPr>
              <w:t xml:space="preserve"> </w:t>
            </w:r>
            <w:r>
              <w:rPr>
                <w:rFonts w:hint="eastAsia" w:ascii="仿宋" w:hAnsi="仿宋" w:eastAsia="仿宋" w:cs="Times New Roman"/>
                <w:sz w:val="24"/>
              </w:rPr>
              <w:t>□算子库工程化优化</w:t>
            </w:r>
          </w:p>
          <w:p w14:paraId="787008C5">
            <w:pPr>
              <w:pStyle w:val="000024"/>
              <w:numPr>
                <w:ilvl w:val="0"/>
                <w:numId w:val="5"/>
              </w:numPr>
              <w:snapToGrid w:val="0"/>
              <w:spacing w:after="156" w:afterLines="50"/>
              <w:ind w:left="442" w:hanging="442" w:firstLineChars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b w:val="1"/>
                <w:bCs w:val="1"/>
                <w:sz w:val="24"/>
              </w:rPr>
              <w:t>大模型推理提效赛</w:t>
            </w:r>
            <w:r>
              <w:rPr>
                <w:rFonts w:hint="eastAsia" w:ascii="仿宋" w:hAnsi="仿宋" w:eastAsia="仿宋" w:cs="Times New Roman"/>
                <w:sz w:val="24"/>
              </w:rPr>
              <w:t>：□轻量级：参数规模≤10B</w:t>
            </w:r>
            <w:r>
              <w:rPr>
                <w:rFonts w:ascii="仿宋" w:hAnsi="仿宋" w:eastAsia="仿宋" w:cs="Times New Roman"/>
                <w:sz w:val="24"/>
              </w:rPr>
              <w:t xml:space="preserve"> </w:t>
            </w:r>
            <w:r>
              <w:rPr>
                <w:rFonts w:ascii="仿宋" w:hAnsi="仿宋" w:eastAsia="仿宋" w:cs="Times New Roman"/>
                <w:sz w:val="24"/>
              </w:rPr>
              <w:br w:type="textWrapping"/>
            </w:r>
            <w:r>
              <w:rPr>
                <w:rFonts w:hint="eastAsia" w:ascii="仿宋" w:hAnsi="仿宋" w:eastAsia="仿宋" w:cs="Times New Roman"/>
                <w:sz w:val="24"/>
              </w:rPr>
              <w:t>□中量级：参数规模10B-100B</w:t>
            </w:r>
            <w:r>
              <w:rPr>
                <w:rFonts w:ascii="仿宋" w:hAnsi="仿宋" w:eastAsia="仿宋" w:cs="Times New Roman"/>
                <w:sz w:val="24"/>
              </w:rPr>
              <w:t xml:space="preserve"> </w:t>
            </w:r>
            <w:r>
              <w:rPr>
                <w:rFonts w:hint="eastAsia" w:ascii="仿宋" w:hAnsi="仿宋" w:eastAsia="仿宋" w:cs="Times New Roman"/>
                <w:sz w:val="24"/>
              </w:rPr>
              <w:t>□重量级：参数规模≥100B。</w:t>
            </w:r>
          </w:p>
          <w:p w14:paraId="7D0D6586">
            <w:pPr>
              <w:pStyle w:val="000024"/>
              <w:numPr>
                <w:ilvl w:val="0"/>
                <w:numId w:val="5"/>
              </w:numPr>
              <w:snapToGrid w:val="0"/>
              <w:spacing w:after="156" w:afterLines="50"/>
              <w:ind w:left="442" w:hanging="442" w:firstLineChars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b w:val="1"/>
                <w:bCs w:val="1"/>
                <w:sz w:val="24"/>
              </w:rPr>
              <w:t>行业智能体实战赛</w:t>
            </w:r>
            <w:r>
              <w:rPr>
                <w:rFonts w:hint="eastAsia" w:ascii="仿宋" w:hAnsi="仿宋" w:eastAsia="仿宋" w:cs="Times New Roman"/>
                <w:sz w:val="24"/>
              </w:rPr>
              <w:t>：□智慧客服与工单闭环智能体</w:t>
            </w:r>
            <w:r>
              <w:rPr>
                <w:rFonts w:ascii="仿宋" w:hAnsi="仿宋" w:eastAsia="仿宋" w:cs="Times New Roman"/>
                <w:sz w:val="24"/>
              </w:rPr>
              <w:t xml:space="preserve"> </w:t>
            </w:r>
            <w:r>
              <w:rPr>
                <w:rFonts w:ascii="仿宋" w:hAnsi="仿宋" w:eastAsia="仿宋" w:cs="Times New Roman"/>
                <w:sz w:val="24"/>
              </w:rPr>
              <w:br w:type="textWrapping"/>
            </w:r>
            <w:r>
              <w:rPr>
                <w:rFonts w:hint="eastAsia" w:ascii="仿宋" w:hAnsi="仿宋" w:eastAsia="仿宋" w:cs="Times New Roman"/>
                <w:sz w:val="24"/>
              </w:rPr>
              <w:t>□企业办公与经营分析</w:t>
            </w:r>
            <w:r>
              <w:rPr>
                <w:rFonts w:ascii="仿宋" w:hAnsi="仿宋" w:eastAsia="仿宋" w:cs="Times New Roman"/>
                <w:sz w:val="24"/>
              </w:rPr>
              <w:t xml:space="preserve"> </w:t>
            </w:r>
            <w:r>
              <w:rPr>
                <w:rFonts w:hint="eastAsia" w:ascii="仿宋" w:hAnsi="仿宋" w:eastAsia="仿宋" w:cs="Times New Roman"/>
                <w:sz w:val="24"/>
              </w:rPr>
              <w:t>□工业能源设备运维</w:t>
            </w:r>
          </w:p>
        </w:tc>
      </w:tr>
      <w:tr>
        <w:trPr>
          <w:trHeight w:val="454"/>
        </w:trPr>
        <w:tc>
          <w:tcPr>
            <w:tcW w:w="1696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4C268D86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项目所属行业及场景</w:t>
            </w:r>
          </w:p>
        </w:tc>
        <w:tc>
          <w:tcPr>
            <w:tcW w:w="6744" w:type="dxa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7E101BE7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</w:tbl>
    <w:p w14:paraId="0E49A853">
      <w:pPr>
        <w:pStyle w:val="000003"/>
      </w:pPr>
      <w:r>
        <w:rPr>
          <w:rFonts w:hint="eastAsia"/>
        </w:rPr>
        <w:t>1 全域基准测评赛</w:t>
      </w:r>
    </w:p>
    <w:p w14:paraId="3ACB39A4">
      <w:pPr>
        <w:pStyle w:val="00000b"/>
        <w:rPr>
          <w:rFonts w:hint="eastAsia"/>
        </w:rPr>
      </w:pPr>
      <w:r>
        <w:rPr>
          <w:rFonts w:hint="eastAsia"/>
        </w:rPr>
        <w:t>1.1 计算硬件信息（必填）</w:t>
      </w:r>
    </w:p>
    <w:tbl>
      <w:tblPr>
        <w:tblStyle w:val="000014"/>
        <w:tblW w:w="0" w:type="auto"/>
        <w:tblLook w:firstRow="1" w:lastRow="0" w:firstColumn="1" w:lastColumn="0" w:noHBand="0" w:noVBand="1" w:val="04A0"/>
      </w:tblPr>
      <w:tblGrid>
        <w:gridCol w:w="2081"/>
        <w:gridCol w:w="2061"/>
        <w:gridCol w:w="1807"/>
        <w:gridCol w:w="2347"/>
      </w:tblGrid>
      <w:tr>
        <w:trPr>
          <w:trHeight w:val="454"/>
          <w:tblHeader w:val="1"/>
        </w:trPr>
        <w:tc>
          <w:tcPr>
            <w:tcW w:w="2081" w:type="dxa"/>
            <w:vAlign w:val="center"/>
          </w:tcPr>
          <w:p w14:paraId="216F18FA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类别</w:t>
            </w:r>
          </w:p>
        </w:tc>
        <w:tc>
          <w:tcPr>
            <w:tcW w:w="2061" w:type="dxa"/>
            <w:vAlign w:val="center"/>
          </w:tcPr>
          <w:p w14:paraId="3E1E04D7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规格/型号</w:t>
            </w:r>
          </w:p>
        </w:tc>
        <w:tc>
          <w:tcPr>
            <w:tcW w:w="1807" w:type="dxa"/>
            <w:vAlign w:val="center"/>
          </w:tcPr>
          <w:p w14:paraId="20AC73AA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数量</w:t>
            </w:r>
          </w:p>
        </w:tc>
        <w:tc>
          <w:tcPr>
            <w:tcW w:w="2347" w:type="dxa"/>
            <w:vAlign w:val="center"/>
          </w:tcPr>
          <w:p w14:paraId="12DE0625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备注</w:t>
            </w:r>
          </w:p>
        </w:tc>
      </w:tr>
      <w:tr>
        <w:trPr>
          <w:trHeight w:val="454"/>
        </w:trPr>
        <w:tc>
          <w:tcPr>
            <w:tcW w:w="2081" w:type="dxa"/>
            <w:vAlign w:val="center"/>
          </w:tcPr>
          <w:p w14:paraId="5BEA77D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GPU/AI加速卡</w:t>
            </w:r>
          </w:p>
        </w:tc>
        <w:tc>
          <w:tcPr>
            <w:tcW w:w="2061" w:type="dxa"/>
            <w:vAlign w:val="center"/>
          </w:tcPr>
          <w:p w14:paraId="4D04C13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4A75E8DF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28739731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2081" w:type="dxa"/>
            <w:vAlign w:val="center"/>
          </w:tcPr>
          <w:p w14:paraId="32262AF3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ascii="仿宋" w:hAnsi="仿宋" w:eastAsia="仿宋" w:cs="Times New Roman"/>
                <w:sz w:val="24"/>
              </w:rPr>
              <w:t>CPU</w:t>
            </w:r>
          </w:p>
        </w:tc>
        <w:tc>
          <w:tcPr>
            <w:tcW w:w="2061" w:type="dxa"/>
            <w:vAlign w:val="center"/>
          </w:tcPr>
          <w:p w14:paraId="7D4A87E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2F4CFB7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3757EDF5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2081" w:type="dxa"/>
            <w:vAlign w:val="center"/>
          </w:tcPr>
          <w:p w14:paraId="0482E3D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内存</w:t>
            </w:r>
          </w:p>
        </w:tc>
        <w:tc>
          <w:tcPr>
            <w:tcW w:w="2061" w:type="dxa"/>
            <w:vAlign w:val="center"/>
          </w:tcPr>
          <w:p w14:paraId="2C6B0CF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21DC339F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17B52BD6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例如：DDR5 8GB</w:t>
            </w:r>
          </w:p>
        </w:tc>
      </w:tr>
      <w:tr>
        <w:trPr>
          <w:trHeight w:val="454"/>
        </w:trPr>
        <w:tc>
          <w:tcPr>
            <w:tcW w:w="2081" w:type="dxa"/>
            <w:vAlign w:val="center"/>
          </w:tcPr>
          <w:p w14:paraId="15A8269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存储</w:t>
            </w:r>
          </w:p>
        </w:tc>
        <w:tc>
          <w:tcPr>
            <w:tcW w:w="2061" w:type="dxa"/>
            <w:vAlign w:val="center"/>
          </w:tcPr>
          <w:p w14:paraId="6EDCEAE2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2C2BC84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26AE2BAC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例如：U.3 SSD 8T</w:t>
            </w:r>
          </w:p>
        </w:tc>
      </w:tr>
      <w:tr>
        <w:trPr>
          <w:trHeight w:val="454"/>
        </w:trPr>
        <w:tc>
          <w:tcPr>
            <w:tcW w:w="2081" w:type="dxa"/>
            <w:vAlign w:val="center"/>
          </w:tcPr>
          <w:p w14:paraId="3C6BCFD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网络设备</w:t>
            </w:r>
          </w:p>
        </w:tc>
        <w:tc>
          <w:tcPr>
            <w:tcW w:w="2061" w:type="dxa"/>
            <w:vAlign w:val="center"/>
          </w:tcPr>
          <w:p w14:paraId="0F10635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02BFC5F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121B5C65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交换机型号：_____</w:t>
            </w:r>
            <w:r>
              <w:rPr>
                <w:rFonts w:ascii="仿宋" w:hAnsi="仿宋" w:eastAsia="仿宋" w:cs="Times New Roman"/>
                <w:sz w:val="24"/>
              </w:rPr>
              <w:br w:type="textWrapping"/>
            </w:r>
            <w:r>
              <w:rPr>
                <w:rFonts w:hint="eastAsia" w:ascii="仿宋" w:hAnsi="仿宋" w:eastAsia="仿宋" w:cs="Times New Roman"/>
                <w:sz w:val="24"/>
              </w:rPr>
              <w:t>带宽：________</w:t>
            </w:r>
            <w:r>
              <w:rPr>
                <w:rFonts w:ascii="仿宋" w:hAnsi="仿宋" w:eastAsia="仿宋" w:cs="Times New Roman"/>
                <w:sz w:val="24"/>
              </w:rPr>
              <w:br w:type="textWrapping"/>
            </w:r>
            <w:r>
              <w:rPr>
                <w:rFonts w:hint="eastAsia" w:ascii="仿宋" w:hAnsi="仿宋" w:eastAsia="仿宋" w:cs="Times New Roman"/>
                <w:sz w:val="24"/>
              </w:rPr>
              <w:t>时延：________</w:t>
            </w:r>
            <w:r>
              <w:rPr>
                <w:rFonts w:ascii="仿宋" w:hAnsi="仿宋" w:eastAsia="仿宋" w:cs="Times New Roman"/>
                <w:sz w:val="24"/>
              </w:rPr>
              <w:br w:type="textWrapping"/>
            </w:r>
            <w:r>
              <w:rPr>
                <w:rFonts w:hint="eastAsia" w:ascii="仿宋" w:hAnsi="仿宋" w:eastAsia="仿宋" w:cs="Times New Roman"/>
                <w:sz w:val="24"/>
              </w:rPr>
              <w:t>连接方式：_______</w:t>
            </w:r>
          </w:p>
        </w:tc>
      </w:tr>
      <w:tr>
        <w:trPr>
          <w:trHeight w:val="454"/>
        </w:trPr>
        <w:tc>
          <w:tcPr>
            <w:tcW w:w="2081" w:type="dxa"/>
            <w:vAlign w:val="center"/>
          </w:tcPr>
          <w:p w14:paraId="262A1F7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硬件改装说明（如有改装需详细说明）</w:t>
            </w:r>
          </w:p>
        </w:tc>
        <w:tc>
          <w:tcPr>
            <w:tcW w:w="2061" w:type="dxa"/>
            <w:vAlign w:val="center"/>
          </w:tcPr>
          <w:p w14:paraId="3906505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42448B8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5AA94176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改装部位：_______ 改装目的：_______ 改装参数：_______</w:t>
            </w:r>
          </w:p>
        </w:tc>
      </w:tr>
      <w:tr>
        <w:trPr>
          <w:trHeight w:val="454"/>
        </w:trPr>
        <w:tc>
          <w:tcPr>
            <w:tcW w:w="2081" w:type="dxa"/>
            <w:vAlign w:val="center"/>
          </w:tcPr>
          <w:p w14:paraId="2036839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其他</w:t>
            </w:r>
          </w:p>
        </w:tc>
        <w:tc>
          <w:tcPr>
            <w:tcW w:w="2061" w:type="dxa"/>
            <w:vAlign w:val="center"/>
          </w:tcPr>
          <w:p w14:paraId="66630FF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807" w:type="dxa"/>
            <w:vAlign w:val="center"/>
          </w:tcPr>
          <w:p w14:paraId="01688E5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47" w:type="dxa"/>
            <w:vAlign w:val="center"/>
          </w:tcPr>
          <w:p w14:paraId="23285826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</w:tbl>
    <w:p w14:paraId="3A211109">
      <w:pPr>
        <w:pStyle w:val="00000b"/>
        <w:rPr>
          <w:rFonts w:hint="eastAsia"/>
        </w:rPr>
      </w:pPr>
      <w:r>
        <w:t>1.</w:t>
      </w:r>
      <w:r>
        <w:rPr>
          <w:rFonts w:hint="eastAsia"/>
        </w:rPr>
        <w:t>2 软件环境信息（必填）</w:t>
      </w:r>
    </w:p>
    <w:tbl>
      <w:tblPr>
        <w:tblStyle w:val="000014"/>
        <w:tblW w:w="0" w:type="auto"/>
        <w:tblLook w:firstRow="1" w:lastRow="0" w:firstColumn="1" w:lastColumn="0" w:noHBand="0" w:noVBand="1" w:val="04A0"/>
      </w:tblPr>
      <w:tblGrid>
        <w:gridCol w:w="2074"/>
        <w:gridCol w:w="2074"/>
        <w:gridCol w:w="2074"/>
        <w:gridCol w:w="2074"/>
      </w:tblGrid>
      <w:tr>
        <w:trPr>
          <w:trHeight w:val="454"/>
          <w:tblHeader w:val="1"/>
        </w:trPr>
        <w:tc>
          <w:tcPr>
            <w:tcW w:w="2130" w:type="dxa"/>
            <w:vAlign w:val="center"/>
          </w:tcPr>
          <w:p w14:paraId="2197480F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类别</w:t>
            </w:r>
          </w:p>
        </w:tc>
        <w:tc>
          <w:tcPr>
            <w:tcW w:w="2130" w:type="dxa"/>
            <w:vAlign w:val="center"/>
          </w:tcPr>
          <w:p w14:paraId="43B42D5B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版本</w:t>
            </w:r>
          </w:p>
        </w:tc>
        <w:tc>
          <w:tcPr>
            <w:tcW w:w="2131" w:type="dxa"/>
            <w:vAlign w:val="center"/>
          </w:tcPr>
          <w:p w14:paraId="723CE7F4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功能说明</w:t>
            </w:r>
          </w:p>
        </w:tc>
        <w:tc>
          <w:tcPr>
            <w:tcW w:w="2131" w:type="dxa"/>
            <w:vAlign w:val="center"/>
          </w:tcPr>
          <w:p w14:paraId="259B6B10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是否定制</w:t>
            </w:r>
          </w:p>
        </w:tc>
      </w:tr>
      <w:tr>
        <w:trPr>
          <w:trHeight w:val="454"/>
        </w:trPr>
        <w:tc>
          <w:tcPr>
            <w:tcW w:w="2130" w:type="dxa"/>
            <w:vAlign w:val="center"/>
          </w:tcPr>
          <w:p w14:paraId="47E579D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操作系统</w:t>
            </w:r>
          </w:p>
        </w:tc>
        <w:tc>
          <w:tcPr>
            <w:tcW w:w="2130" w:type="dxa"/>
            <w:vAlign w:val="center"/>
          </w:tcPr>
          <w:p w14:paraId="497FA34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40A82F9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0F36884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2130" w:type="dxa"/>
            <w:vAlign w:val="center"/>
          </w:tcPr>
          <w:p w14:paraId="3C466F8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驱动组件</w:t>
            </w:r>
          </w:p>
        </w:tc>
        <w:tc>
          <w:tcPr>
            <w:tcW w:w="2130" w:type="dxa"/>
            <w:vAlign w:val="center"/>
          </w:tcPr>
          <w:p w14:paraId="7530817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60E40873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2725099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2130" w:type="dxa"/>
            <w:vAlign w:val="center"/>
          </w:tcPr>
          <w:p w14:paraId="1C018270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容器/虚拟化</w:t>
            </w:r>
          </w:p>
        </w:tc>
        <w:tc>
          <w:tcPr>
            <w:tcW w:w="2130" w:type="dxa"/>
            <w:vAlign w:val="center"/>
          </w:tcPr>
          <w:p w14:paraId="00F5C022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6ED889B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04289950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2130" w:type="dxa"/>
            <w:vAlign w:val="center"/>
          </w:tcPr>
          <w:p w14:paraId="02C37D2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其他系统组件</w:t>
            </w:r>
          </w:p>
        </w:tc>
        <w:tc>
          <w:tcPr>
            <w:tcW w:w="2130" w:type="dxa"/>
            <w:vAlign w:val="center"/>
          </w:tcPr>
          <w:p w14:paraId="20A4E79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7156061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131" w:type="dxa"/>
            <w:vAlign w:val="center"/>
          </w:tcPr>
          <w:p w14:paraId="0C35917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</w:tbl>
    <w:p w14:paraId="41B2C660">
      <w:pPr>
        <w:pStyle w:val="00000b"/>
        <w:rPr>
          <w:rFonts w:hint="eastAsia"/>
        </w:rPr>
      </w:pPr>
      <w:r>
        <w:t>1.</w:t>
      </w:r>
      <w:r>
        <w:rPr>
          <w:rFonts w:hint="eastAsia"/>
        </w:rPr>
        <w:t>3 上层应用基本信息（必填）</w:t>
      </w:r>
    </w:p>
    <w:tbl>
      <w:tblPr>
        <w:tblW w:w="5007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991"/>
        <w:gridCol w:w="6317"/>
      </w:tblGrid>
      <w:tr>
        <w:trPr>
          <w:trHeight w:val="454"/>
          <w:tblHeader w:val="1"/>
        </w:trPr>
        <w:tc>
          <w:tcPr>
            <w:tcW w:w="1198" w:type="pc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02712639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项目</w:t>
            </w:r>
          </w:p>
        </w:tc>
        <w:tc>
          <w:tcPr>
            <w:tcW w:w="3801" w:type="pc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49D407E9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详情填写</w:t>
            </w:r>
          </w:p>
        </w:tc>
      </w:tr>
      <w:tr>
        <w:trPr>
          <w:trHeight w:val="454"/>
        </w:trPr>
        <w:tc>
          <w:tcPr>
            <w:tcW w:w="1198" w:type="pc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4EB45403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应用名称</w:t>
            </w:r>
          </w:p>
        </w:tc>
        <w:tc>
          <w:tcPr>
            <w:tcW w:w="3801" w:type="pc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7707CD41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1198" w:type="pc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7C4F092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应用场景描述</w:t>
            </w:r>
          </w:p>
        </w:tc>
        <w:tc>
          <w:tcPr>
            <w:tcW w:w="3801" w:type="pc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7F1FC62E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（明确实测场景、核心任务、预期目标）：________</w:t>
            </w:r>
          </w:p>
        </w:tc>
      </w:tr>
      <w:tr>
        <w:trPr>
          <w:trHeight w:val="454"/>
        </w:trPr>
        <w:tc>
          <w:tcPr>
            <w:tcW w:w="1198" w:type="pct"/>
            <w:vMerge w:val="restar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663F574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核心功能模块</w:t>
            </w:r>
          </w:p>
        </w:tc>
        <w:tc>
          <w:tcPr>
            <w:tcW w:w="3801" w:type="pc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27047253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模块 1：______ 功能说明：______ 技术亮点：________</w:t>
            </w:r>
          </w:p>
        </w:tc>
      </w:tr>
      <w:tr>
        <w:trPr>
          <w:trHeight w:val="454"/>
        </w:trPr>
        <w:tc>
          <w:tcPr>
            <w:tcW w:w="1198" w:type="pct"/>
            <w:vMerge w:val="continue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2A0E696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3801" w:type="pct"/>
            <w:tcMar>
              <w:top w:w="68" w:type="dxa"/>
              <w:left w:w="60" w:type="dxa"/>
              <w:bottom w:w="68" w:type="dxa"/>
              <w:right w:w="60" w:type="dxa"/>
            </w:tcMar>
            <w:vAlign w:val="center"/>
          </w:tcPr>
          <w:p w14:paraId="05EE92D3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模块 2：______ 功能说明：______ 技术亮点：________</w:t>
            </w:r>
          </w:p>
        </w:tc>
      </w:tr>
    </w:tbl>
    <w:p w14:paraId="48E7B356">
      <w:pPr>
        <w:spacing w:line="360" w:lineRule="auto"/>
        <w:rPr>
          <w:rFonts w:hint="eastAsia" w:ascii="仿宋" w:hAnsi="仿宋" w:eastAsia="仿宋" w:cs="宋体"/>
          <w:b w:val="1"/>
          <w:bCs w:val="1"/>
          <w:sz w:val="24"/>
        </w:rPr>
      </w:pPr>
      <w:r>
        <w:rPr>
          <w:rFonts w:hint="eastAsia" w:ascii="仿宋" w:hAnsi="仿宋" w:eastAsia="仿宋" w:cs="宋体"/>
          <w:b w:val="1"/>
          <w:bCs w:val="1"/>
          <w:sz w:val="24"/>
        </w:rPr>
        <w:t>（可提供截图佐证）</w:t>
      </w:r>
    </w:p>
    <w:p w14:paraId="7BD7D5D6">
      <w:pPr>
        <w:pStyle w:val="00000b"/>
        <w:rPr>
          <w:rFonts w:hint="eastAsia"/>
        </w:rPr>
      </w:pPr>
      <w:r>
        <w:t>1.</w:t>
      </w:r>
      <w:r>
        <w:rPr>
          <w:rFonts w:hint="eastAsia"/>
        </w:rPr>
        <w:t>4 测试数据集情况（必填）</w:t>
      </w:r>
    </w:p>
    <w:tbl>
      <w:tblPr>
        <w:tblStyle w:val="000014"/>
        <w:tblW w:w="0" w:type="auto"/>
        <w:tblLook w:firstRow="1" w:lastRow="0" w:firstColumn="1" w:lastColumn="0" w:noHBand="0" w:noVBand="1" w:val="04A0"/>
      </w:tblPr>
      <w:tblGrid>
        <w:gridCol w:w="2689"/>
        <w:gridCol w:w="4427"/>
        <w:gridCol w:w="1180"/>
      </w:tblGrid>
      <w:tr>
        <w:trPr>
          <w:trHeight w:val="454"/>
          <w:tblHeader w:val="1"/>
        </w:trPr>
        <w:tc>
          <w:tcPr>
            <w:tcW w:w="2689" w:type="dxa"/>
            <w:vAlign w:val="center"/>
          </w:tcPr>
          <w:p w14:paraId="22336CA7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项目</w:t>
            </w:r>
          </w:p>
        </w:tc>
        <w:tc>
          <w:tcPr>
            <w:tcW w:w="4427" w:type="dxa"/>
            <w:vAlign w:val="center"/>
          </w:tcPr>
          <w:p w14:paraId="29DC0A87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详情</w:t>
            </w:r>
          </w:p>
        </w:tc>
        <w:tc>
          <w:tcPr>
            <w:tcW w:w="1180" w:type="dxa"/>
            <w:vAlign w:val="center"/>
          </w:tcPr>
          <w:p w14:paraId="798C97EF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备注</w:t>
            </w:r>
          </w:p>
        </w:tc>
      </w:tr>
      <w:tr>
        <w:trPr>
          <w:trHeight w:val="454"/>
        </w:trPr>
        <w:tc>
          <w:tcPr>
            <w:tcW w:w="2689" w:type="dxa"/>
            <w:vAlign w:val="center"/>
          </w:tcPr>
          <w:p w14:paraId="1D5A298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测试集类型</w:t>
            </w:r>
          </w:p>
        </w:tc>
        <w:tc>
          <w:tcPr>
            <w:tcW w:w="4427" w:type="dxa"/>
            <w:vAlign w:val="center"/>
          </w:tcPr>
          <w:p w14:paraId="26F8DA2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□公开数据集</w:t>
            </w:r>
          </w:p>
          <w:p w14:paraId="33D581B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□自建数据集</w:t>
            </w:r>
          </w:p>
        </w:tc>
        <w:tc>
          <w:tcPr>
            <w:tcW w:w="1180" w:type="dxa"/>
            <w:vAlign w:val="center"/>
          </w:tcPr>
          <w:p w14:paraId="20DD9C13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2689" w:type="dxa"/>
            <w:vAlign w:val="center"/>
          </w:tcPr>
          <w:p w14:paraId="1207359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已测数据集能否用于比赛环境测试？（进行测试过程的对外展示）</w:t>
            </w:r>
          </w:p>
        </w:tc>
        <w:tc>
          <w:tcPr>
            <w:tcW w:w="4427" w:type="dxa"/>
            <w:vAlign w:val="center"/>
          </w:tcPr>
          <w:p w14:paraId="39A07E36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□是</w:t>
            </w:r>
          </w:p>
          <w:p w14:paraId="5D169D9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□否</w:t>
            </w:r>
          </w:p>
        </w:tc>
        <w:tc>
          <w:tcPr>
            <w:tcW w:w="1180" w:type="dxa"/>
            <w:vAlign w:val="center"/>
          </w:tcPr>
          <w:p w14:paraId="47A921C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2689" w:type="dxa"/>
            <w:vAlign w:val="center"/>
          </w:tcPr>
          <w:p w14:paraId="268922EF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数据集基本详情</w:t>
            </w:r>
          </w:p>
        </w:tc>
        <w:tc>
          <w:tcPr>
            <w:tcW w:w="4427" w:type="dxa"/>
            <w:vAlign w:val="center"/>
          </w:tcPr>
          <w:p w14:paraId="760DE9E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(有多少条内容，简要描述涉及范围。)</w:t>
            </w:r>
          </w:p>
        </w:tc>
        <w:tc>
          <w:tcPr>
            <w:tcW w:w="1180" w:type="dxa"/>
            <w:vAlign w:val="center"/>
          </w:tcPr>
          <w:p w14:paraId="0ED38D9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</w:tbl>
    <w:p w14:paraId="4ECD2A67">
      <w:pPr>
        <w:spacing w:line="360" w:lineRule="auto"/>
        <w:rPr>
          <w:rFonts w:hint="eastAsia" w:ascii="仿宋" w:hAnsi="仿宋" w:eastAsia="仿宋"/>
          <w:color w:val="C00000"/>
        </w:rPr>
      </w:pPr>
      <w:r>
        <w:rPr>
          <w:rFonts w:hint="eastAsia" w:ascii="仿宋" w:hAnsi="仿宋" w:eastAsia="仿宋" w:cs="宋体"/>
          <w:b w:val="1"/>
          <w:bCs w:val="1"/>
          <w:color w:val="C00000"/>
          <w:sz w:val="24"/>
        </w:rPr>
        <w:t>附上已测过的核心流程和结果情况（附截图）。</w:t>
      </w:r>
    </w:p>
    <w:p w14:paraId="2FE096A6">
      <w:pPr>
        <w:pStyle w:val="00000b"/>
        <w:rPr>
          <w:rFonts w:hint="eastAsia"/>
        </w:rPr>
      </w:pPr>
      <w:r>
        <w:rPr>
          <w:rFonts w:hint="eastAsia"/>
        </w:rPr>
        <w:t>1.5 大模型测试信息</w:t>
      </w:r>
      <w:r>
        <w:rPr>
          <w:rFonts w:hint="eastAsia" w:ascii="仿宋" w:hAnsi="仿宋" w:eastAsia="仿宋" w:cs="Times New Roman"/>
          <w:kern w:val="0"/>
        </w:rPr>
        <w:t>（大模型测试必填）</w:t>
      </w:r>
    </w:p>
    <w:tbl>
      <w:tblPr>
        <w:tblStyle w:val="000014"/>
        <w:tblW w:w="0" w:type="auto"/>
        <w:tblLook w:firstRow="1" w:lastRow="0" w:firstColumn="1" w:lastColumn="0" w:noHBand="0" w:noVBand="1" w:val="04A0"/>
      </w:tblPr>
      <w:tblGrid>
        <w:gridCol w:w="3114"/>
        <w:gridCol w:w="2416"/>
        <w:gridCol w:w="2766"/>
      </w:tblGrid>
      <w:tr>
        <w:trPr>
          <w:trHeight w:val="454"/>
          <w:tblHeader w:val="1"/>
        </w:trPr>
        <w:tc>
          <w:tcPr>
            <w:tcW w:w="3114" w:type="dxa"/>
            <w:vAlign w:val="center"/>
          </w:tcPr>
          <w:p w14:paraId="560020FD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项目</w:t>
            </w:r>
          </w:p>
        </w:tc>
        <w:tc>
          <w:tcPr>
            <w:tcW w:w="2416" w:type="dxa"/>
            <w:vAlign w:val="center"/>
          </w:tcPr>
          <w:p w14:paraId="5DFE7D13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内容</w:t>
            </w:r>
          </w:p>
        </w:tc>
        <w:tc>
          <w:tcPr>
            <w:tcW w:w="2766" w:type="dxa"/>
            <w:vAlign w:val="center"/>
          </w:tcPr>
          <w:p w14:paraId="071122B7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备注</w:t>
            </w: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7C1512E2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模型名称/版本</w:t>
            </w:r>
          </w:p>
        </w:tc>
        <w:tc>
          <w:tcPr>
            <w:tcW w:w="2416" w:type="dxa"/>
            <w:vAlign w:val="center"/>
          </w:tcPr>
          <w:p w14:paraId="4F82592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56A3A43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398F560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模型类型</w:t>
            </w:r>
          </w:p>
        </w:tc>
        <w:tc>
          <w:tcPr>
            <w:tcW w:w="2416" w:type="dxa"/>
            <w:vAlign w:val="center"/>
          </w:tcPr>
          <w:p w14:paraId="4AE5380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56A3D97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LLM、多模态等</w:t>
            </w: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03891B7F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参数规模</w:t>
            </w:r>
          </w:p>
        </w:tc>
        <w:tc>
          <w:tcPr>
            <w:tcW w:w="2416" w:type="dxa"/>
            <w:vAlign w:val="center"/>
          </w:tcPr>
          <w:p w14:paraId="3DF0873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4F81208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7F277F8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训练框架</w:t>
            </w:r>
          </w:p>
        </w:tc>
        <w:tc>
          <w:tcPr>
            <w:tcW w:w="2416" w:type="dxa"/>
            <w:vAlign w:val="center"/>
          </w:tcPr>
          <w:p w14:paraId="2954C84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3493D1B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47BD6D8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部署方式</w:t>
            </w:r>
          </w:p>
        </w:tc>
        <w:tc>
          <w:tcPr>
            <w:tcW w:w="2416" w:type="dxa"/>
            <w:vAlign w:val="center"/>
          </w:tcPr>
          <w:p w14:paraId="491FA4A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5DFCF8A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单机/多机</w:t>
            </w:r>
          </w:p>
          <w:p w14:paraId="4CDD0CC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本地/云端</w:t>
            </w: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401FB7D2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优化方式(如LoRA</w:t>
            </w:r>
            <w:r>
              <w:rPr>
                <w:rFonts w:hint="eastAsia" w:ascii="仿宋" w:hAnsi="仿宋" w:eastAsia="仿宋" w:cs="Times New Roman"/>
                <w:spacing w:val="-100"/>
                <w:sz w:val="24"/>
              </w:rPr>
              <w:t>、</w:t>
            </w:r>
            <w:r>
              <w:rPr>
                <w:rFonts w:hint="eastAsia" w:ascii="仿宋" w:hAnsi="仿宋" w:eastAsia="仿宋" w:cs="Times New Roman"/>
                <w:sz w:val="24"/>
              </w:rPr>
              <w:t>量化等）</w:t>
            </w:r>
          </w:p>
        </w:tc>
        <w:tc>
          <w:tcPr>
            <w:tcW w:w="2416" w:type="dxa"/>
            <w:vAlign w:val="center"/>
          </w:tcPr>
          <w:p w14:paraId="1BDBC1B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58A4505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429D666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测试的持续时间</w:t>
            </w:r>
          </w:p>
        </w:tc>
        <w:tc>
          <w:tcPr>
            <w:tcW w:w="2416" w:type="dxa"/>
            <w:vAlign w:val="center"/>
          </w:tcPr>
          <w:p w14:paraId="2B6F2D8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开始时间：</w:t>
            </w:r>
          </w:p>
          <w:p w14:paraId="63335EC6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结束时间：</w:t>
            </w:r>
          </w:p>
        </w:tc>
        <w:tc>
          <w:tcPr>
            <w:tcW w:w="2766" w:type="dxa"/>
            <w:vAlign w:val="center"/>
          </w:tcPr>
          <w:p w14:paraId="44C7C8FE">
            <w:pPr>
              <w:snapToGrid w:val="0"/>
              <w:jc w:val="center"/>
              <w:rPr>
                <w:rFonts w:hint="eastAsia" w:ascii="仿宋" w:hAnsi="仿宋" w:eastAsia="仿宋" w:cs="Times New Roman"/>
                <w:color w:val="C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40AB2CE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测试期间任务处理吞吐率、Token生成速率、首包时延、单步推理时延等运行指标</w:t>
            </w:r>
          </w:p>
        </w:tc>
        <w:tc>
          <w:tcPr>
            <w:tcW w:w="2416" w:type="dxa"/>
            <w:vAlign w:val="center"/>
          </w:tcPr>
          <w:p w14:paraId="01E6AD8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099BE771">
            <w:pPr>
              <w:snapToGrid w:val="0"/>
              <w:jc w:val="center"/>
              <w:rPr>
                <w:rFonts w:hint="eastAsia" w:ascii="仿宋" w:hAnsi="仿宋" w:eastAsia="仿宋" w:cs="Times New Roman"/>
                <w:color w:val="C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59D8B1B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测试期间硬件平均利用率（注明口径）</w:t>
            </w:r>
          </w:p>
        </w:tc>
        <w:tc>
          <w:tcPr>
            <w:tcW w:w="2416" w:type="dxa"/>
            <w:vAlign w:val="center"/>
          </w:tcPr>
          <w:p w14:paraId="69269BD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093633B9">
            <w:pPr>
              <w:snapToGrid w:val="0"/>
              <w:jc w:val="center"/>
              <w:rPr>
                <w:rFonts w:hint="eastAsia" w:ascii="仿宋" w:hAnsi="仿宋" w:eastAsia="仿宋" w:cs="Times New Roman"/>
                <w:color w:val="C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  <w:tr>
        <w:trPr>
          <w:trHeight w:val="454"/>
        </w:trPr>
        <w:tc>
          <w:tcPr>
            <w:tcW w:w="3114" w:type="dxa"/>
            <w:vAlign w:val="center"/>
          </w:tcPr>
          <w:p w14:paraId="4397E35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测试期间能耗</w:t>
            </w:r>
          </w:p>
        </w:tc>
        <w:tc>
          <w:tcPr>
            <w:tcW w:w="2416" w:type="dxa"/>
            <w:vAlign w:val="center"/>
          </w:tcPr>
          <w:p w14:paraId="34F87AD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766" w:type="dxa"/>
            <w:vAlign w:val="center"/>
          </w:tcPr>
          <w:p w14:paraId="3B8E1AFF">
            <w:pPr>
              <w:snapToGrid w:val="0"/>
              <w:jc w:val="center"/>
              <w:rPr>
                <w:rFonts w:hint="eastAsia" w:ascii="仿宋" w:hAnsi="仿宋" w:eastAsia="仿宋" w:cs="Times New Roman"/>
                <w:color w:val="C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</w:tbl>
    <w:p w14:paraId="202432C6">
      <w:pPr>
        <w:pStyle w:val="00000b"/>
        <w:rPr>
          <w:rFonts w:hint="eastAsia"/>
        </w:rPr>
      </w:pPr>
      <w:r>
        <w:t xml:space="preserve">1.6 </w:t>
      </w:r>
      <w:r>
        <w:rPr>
          <w:rFonts w:hint="eastAsia"/>
        </w:rPr>
        <w:t>智能体测试信息</w:t>
      </w:r>
      <w:r>
        <w:rPr>
          <w:rFonts w:hint="eastAsia" w:ascii="仿宋" w:hAnsi="仿宋" w:eastAsia="仿宋" w:cs="Times New Roman"/>
          <w:kern w:val="0"/>
        </w:rPr>
        <w:t>（智能体测试必填）</w:t>
      </w:r>
    </w:p>
    <w:tbl>
      <w:tblPr>
        <w:tblW w:w="0" w:type="auto"/>
        <w:tblInd w:w="-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724"/>
        <w:gridCol w:w="1985"/>
        <w:gridCol w:w="4615"/>
      </w:tblGrid>
      <w:tr>
        <w:trPr>
          <w:trHeight w:val="390"/>
          <w:tblHeader w:val="1"/>
        </w:trPr>
        <w:tc>
          <w:tcPr>
            <w:tcW w:w="17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C9EB0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项目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087BA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内容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3B07B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备注</w:t>
            </w:r>
          </w:p>
        </w:tc>
      </w:tr>
      <w:tr>
        <w:trPr>
          <w:trHeight w:val="391"/>
        </w:trPr>
        <w:tc>
          <w:tcPr>
            <w:tcW w:w="172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4166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硬件与部署环境信息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1C3B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硬件设备型号与配置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E1F45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详细填报推理/训练硬件型号、CPU/GPU核心配置、显存/内存大小、算力基础参数，明确本地/云端设备属性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3DD6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2038C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部署运行环境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EFC1C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填报操作系统、框架版本、依赖库版本、编译运行环境等全套软件栈信息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E193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A1E4A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部署架构方式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89F0D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明确单机/多机部署、单卡/多卡部署模式，说明分布式调度、并行推理等部署配置</w:t>
            </w:r>
          </w:p>
        </w:tc>
      </w:tr>
      <w:tr>
        <w:trPr>
          <w:trHeight w:val="391"/>
        </w:trPr>
        <w:tc>
          <w:tcPr>
            <w:tcW w:w="172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5645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智能体架构与技术方案信息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82E8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基础大模型信息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2EF791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填报依托的开源模型名称、版本、参数量级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99DA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0DF96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智能体整体架构设计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E5CE0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梳理智能体核心架构模块，包含意图识别、记忆模块、任务规划、工具调用、RAG检索、输出校验等核心组件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67B86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D8745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核心优化方案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B0F66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填报模型量化、Prompt工程、知识库优化、检索增强优化、工具编排优化、多轮记忆优化、算子优化等全部提效提质手段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72AF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88EAF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知识库构建信息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46D5ED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收集行业知识库来源、数据量级、数据清洗方式、向量库构建参数、检索策略等核心信息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D6606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FDD00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工具调用能力配置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E4DA0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统计智能体可调用工具数量、工具适配场景、自动调用成功率、多工具组合编排能力</w:t>
            </w:r>
          </w:p>
        </w:tc>
      </w:tr>
      <w:tr>
        <w:trPr>
          <w:trHeight w:val="391"/>
        </w:trPr>
        <w:tc>
          <w:tcPr>
            <w:tcW w:w="172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391F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测试数据集与评测配置信息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04995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通用评测数据集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C4168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列明评测所用公开数据集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1A72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5E5B8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行业专属测试数据集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AB549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列明评测所用专属数据集的基本规格及类型信息等</w:t>
            </w:r>
          </w:p>
        </w:tc>
      </w:tr>
      <w:tr>
        <w:trPr>
          <w:trHeight w:val="391"/>
        </w:trPr>
        <w:tc>
          <w:tcPr>
            <w:tcW w:w="172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AF999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核心测试结果数据（业务质量&amp;性能）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38BD2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业务准确率指标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7D4F3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列明业务场景及对应的准确率等指标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33536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D1396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推理性能指标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53976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收集全场景下智能体响应时延、首包响应时长、任务处理吞吐率、多轮交互稳定性、长文本生成效率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88C5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ACF731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内容合规质量指标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3E9DE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统计智能体输出内容合规率、无错误率、复杂场景适配成功率、异常场景容错通过率（如有）</w:t>
            </w:r>
          </w:p>
        </w:tc>
      </w:tr>
      <w:tr>
        <w:trPr>
          <w:trHeight w:val="391"/>
        </w:trPr>
        <w:tc>
          <w:tcPr>
            <w:tcW w:w="1724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D1FB0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测试佐证信息</w:t>
            </w: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15634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测试起止时间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F5BEF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（截图佐证）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E9E8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534B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硬件资源占用平均利用率（标明统计口径）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3C10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（截图佐证）</w:t>
            </w:r>
          </w:p>
        </w:tc>
      </w:tr>
      <w:tr>
        <w:trPr>
          <w:trHeight w:val="391"/>
        </w:trPr>
        <w:tc>
          <w:tcPr>
            <w:tcW w:w="1724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33FE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8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66A9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测试期间能耗</w:t>
            </w:r>
          </w:p>
        </w:tc>
        <w:tc>
          <w:tcPr>
            <w:tcW w:w="461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4D4A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（截图佐证）</w:t>
            </w:r>
          </w:p>
        </w:tc>
      </w:tr>
    </w:tbl>
    <w:p w14:paraId="65077785">
      <w:pPr>
        <w:pStyle w:val="00000b"/>
        <w:rPr>
          <w:rFonts w:hint="eastAsia"/>
        </w:rPr>
      </w:pPr>
      <w:r>
        <w:t xml:space="preserve">1.7 </w:t>
      </w:r>
      <w:r>
        <w:rPr>
          <w:rFonts w:hint="eastAsia"/>
        </w:rPr>
        <w:t>一体机测试信息</w:t>
      </w:r>
      <w:r>
        <w:rPr>
          <w:rFonts w:hint="eastAsia" w:ascii="仿宋" w:hAnsi="仿宋" w:eastAsia="仿宋" w:cs="Times New Roman"/>
          <w:kern w:val="0"/>
        </w:rPr>
        <w:t>（一体机测试必填）</w:t>
      </w:r>
    </w:p>
    <w:p w14:paraId="6A812372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基本信息：</w:t>
      </w:r>
    </w:p>
    <w:tbl>
      <w:tblPr>
        <w:tblStyle w:val="000014"/>
        <w:tblW w:w="0" w:type="auto"/>
        <w:tblLook w:firstRow="1" w:lastRow="0" w:firstColumn="1" w:lastColumn="0" w:noHBand="0" w:noVBand="1" w:val="04A0"/>
      </w:tblPr>
      <w:tblGrid>
        <w:gridCol w:w="1629"/>
        <w:gridCol w:w="2430"/>
        <w:gridCol w:w="2322"/>
        <w:gridCol w:w="1915"/>
      </w:tblGrid>
      <w:tr>
        <w:trPr>
          <w:trHeight w:val="283"/>
        </w:trPr>
        <w:tc>
          <w:tcPr>
            <w:tcW w:w="1682" w:type="dxa"/>
            <w:vAlign w:val="center"/>
          </w:tcPr>
          <w:p w14:paraId="7739CF76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一体机产品</w:t>
            </w:r>
          </w:p>
        </w:tc>
        <w:tc>
          <w:tcPr>
            <w:tcW w:w="2520" w:type="dxa"/>
            <w:vAlign w:val="center"/>
          </w:tcPr>
          <w:p w14:paraId="7FD8D627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模型名称及参数大小</w:t>
            </w:r>
          </w:p>
        </w:tc>
        <w:tc>
          <w:tcPr>
            <w:tcW w:w="2358" w:type="dxa"/>
            <w:vAlign w:val="center"/>
          </w:tcPr>
          <w:p w14:paraId="3C9C92C6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产品标称-系统吞吐（Token/s）</w:t>
            </w:r>
          </w:p>
        </w:tc>
        <w:tc>
          <w:tcPr>
            <w:tcW w:w="1960" w:type="dxa"/>
            <w:vAlign w:val="center"/>
          </w:tcPr>
          <w:p w14:paraId="5DB79277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产品标称-多用户并发数（路）</w:t>
            </w:r>
          </w:p>
        </w:tc>
      </w:tr>
      <w:tr>
        <w:trPr>
          <w:trHeight w:val="283"/>
        </w:trPr>
        <w:tc>
          <w:tcPr>
            <w:tcW w:w="1682" w:type="dxa"/>
            <w:vAlign w:val="center"/>
          </w:tcPr>
          <w:p w14:paraId="0EFAC39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520" w:type="dxa"/>
            <w:vAlign w:val="center"/>
          </w:tcPr>
          <w:p w14:paraId="452F39BF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58" w:type="dxa"/>
            <w:vAlign w:val="center"/>
          </w:tcPr>
          <w:p w14:paraId="3FC73AD0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60" w:type="dxa"/>
            <w:vAlign w:val="center"/>
          </w:tcPr>
          <w:p w14:paraId="5928230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283"/>
        </w:trPr>
        <w:tc>
          <w:tcPr>
            <w:tcW w:w="1682" w:type="dxa"/>
            <w:vAlign w:val="center"/>
          </w:tcPr>
          <w:p w14:paraId="2D1114C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520" w:type="dxa"/>
            <w:vAlign w:val="center"/>
          </w:tcPr>
          <w:p w14:paraId="0357B80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358" w:type="dxa"/>
            <w:vAlign w:val="center"/>
          </w:tcPr>
          <w:p w14:paraId="573C40F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1960" w:type="dxa"/>
            <w:vAlign w:val="center"/>
          </w:tcPr>
          <w:p w14:paraId="3D95C5D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</w:tr>
    </w:tbl>
    <w:p w14:paraId="2E7094F0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测试情况：核心能力压测、API压测、能效测试、吞吐率测试等（任选一项）。</w:t>
      </w:r>
    </w:p>
    <w:p w14:paraId="300E86DE">
      <w:pPr>
        <w:spacing w:line="360" w:lineRule="auto"/>
        <w:rPr>
          <w:rFonts w:hint="eastAsia" w:ascii="仿宋" w:hAnsi="仿宋" w:eastAsia="仿宋" w:cs="宋体"/>
          <w:b w:val="1"/>
          <w:bCs w:val="1"/>
          <w:color w:val="C00000"/>
          <w:sz w:val="24"/>
        </w:rPr>
      </w:pPr>
      <w:r>
        <w:rPr>
          <w:rFonts w:hint="eastAsia" w:ascii="仿宋" w:hAnsi="仿宋" w:eastAsia="仿宋" w:cs="宋体"/>
          <w:b w:val="1"/>
          <w:bCs w:val="1"/>
          <w:color w:val="C00000"/>
          <w:sz w:val="24"/>
        </w:rPr>
        <w:t>附上测试核心过程和结果。</w:t>
      </w:r>
    </w:p>
    <w:p w14:paraId="3858B7A8">
      <w:pPr>
        <w:pStyle w:val="00000b"/>
        <w:rPr>
          <w:rFonts w:hint="eastAsia"/>
        </w:rPr>
      </w:pPr>
      <w:r>
        <w:t xml:space="preserve">1.8 </w:t>
      </w:r>
      <w:r>
        <w:rPr>
          <w:rFonts w:hint="eastAsia"/>
        </w:rPr>
        <w:t>MaaS平台/服务测试信息</w:t>
      </w:r>
      <w:r>
        <w:rPr>
          <w:rFonts w:hint="eastAsia" w:ascii="仿宋" w:hAnsi="仿宋" w:eastAsia="仿宋" w:cs="Times New Roman"/>
          <w:kern w:val="0"/>
        </w:rPr>
        <w:t>（</w:t>
      </w:r>
      <w:r>
        <w:rPr>
          <w:rFonts w:ascii="仿宋" w:hAnsi="仿宋" w:eastAsia="仿宋" w:cs="Times New Roman"/>
          <w:kern w:val="0"/>
        </w:rPr>
        <w:t>MaaS</w:t>
      </w:r>
      <w:r>
        <w:rPr>
          <w:rFonts w:hint="eastAsia" w:ascii="仿宋" w:hAnsi="仿宋" w:eastAsia="仿宋" w:cs="Times New Roman"/>
          <w:kern w:val="0"/>
        </w:rPr>
        <w:t>平台项目必填）</w:t>
      </w:r>
    </w:p>
    <w:p w14:paraId="3E8A8D09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如有框架图，可以贴一个整体结构能力图，列出主要能力项和适用场景等，以及对</w:t>
      </w:r>
      <w:r>
        <w:rPr>
          <w:rFonts w:ascii="仿宋" w:hAnsi="仿宋" w:eastAsia="仿宋" w:cs="Times New Roman"/>
          <w:kern w:val="0"/>
          <w:sz w:val="24"/>
          <w:szCs w:val="28"/>
        </w:rPr>
        <w:t>MaaS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平台核心的调度能力、并发能力、功能性能等能力的测试结果。</w:t>
      </w:r>
    </w:p>
    <w:p w14:paraId="6451666A">
      <w:pPr>
        <w:pStyle w:val="00000b"/>
        <w:rPr>
          <w:rFonts w:hint="eastAsia"/>
        </w:rPr>
      </w:pPr>
      <w:r>
        <w:rPr>
          <w:rFonts w:hint="eastAsia"/>
        </w:rPr>
        <w:t>1.9 其他测试信息</w:t>
      </w:r>
    </w:p>
    <w:p w14:paraId="21D2C9AD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未归入前述类别的实测项目，如网络架构优化、算力调度、存储优化等方向，需从硬件配置、软件体系、开发框架、核心技术及落地成效维度填报信息，重点量化呈现优化前后的性能提升数据。</w:t>
      </w:r>
    </w:p>
    <w:p w14:paraId="2E8FAB2B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</w:p>
    <w:p w14:paraId="58A668BC">
      <w:pPr>
        <w:pStyle w:val="000003"/>
      </w:pP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算子性能优化赛</w:t>
      </w:r>
    </w:p>
    <w:p w14:paraId="030CE584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本次算子性能优化赛划分算子功能兼容性、执行性能、算子库工程化等优化方向。按要求如实填报对应软硬件环境信息。</w:t>
      </w:r>
    </w:p>
    <w:p w14:paraId="20CDBE0A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推荐</w:t>
      </w:r>
      <w:r>
        <w:rPr>
          <w:rFonts w:ascii="仿宋" w:hAnsi="仿宋" w:eastAsia="仿宋" w:cs="Times New Roman"/>
          <w:kern w:val="0"/>
          <w:sz w:val="24"/>
          <w:szCs w:val="28"/>
        </w:rPr>
        <w:t>CANN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、</w:t>
      </w:r>
      <w:r>
        <w:rPr>
          <w:rFonts w:ascii="仿宋" w:hAnsi="仿宋" w:eastAsia="仿宋" w:cs="Times New Roman"/>
          <w:kern w:val="0"/>
          <w:sz w:val="24"/>
          <w:szCs w:val="28"/>
        </w:rPr>
        <w:t>MUSA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、</w:t>
      </w:r>
      <w:r>
        <w:rPr>
          <w:rFonts w:ascii="仿宋" w:hAnsi="仿宋" w:eastAsia="仿宋" w:cs="Times New Roman"/>
          <w:kern w:val="0"/>
          <w:sz w:val="24"/>
          <w:szCs w:val="28"/>
        </w:rPr>
        <w:t>PaddlePaddle</w:t>
      </w:r>
      <w:r>
        <w:rPr>
          <w:rFonts w:hint="eastAsia" w:ascii="仿宋" w:hAnsi="仿宋" w:eastAsia="仿宋" w:cs="Times New Roman"/>
          <w:kern w:val="0"/>
          <w:sz w:val="24"/>
          <w:szCs w:val="28"/>
        </w:rPr>
        <w:t>、FlagOS等开源系统软件栈开展评测。</w:t>
      </w:r>
    </w:p>
    <w:p w14:paraId="10004B3F">
      <w:pPr>
        <w:pStyle w:val="00000b"/>
        <w:rPr>
          <w:rFonts w:hint="eastAsia"/>
        </w:rPr>
      </w:pPr>
      <w:r>
        <w:t xml:space="preserve">2.1 </w:t>
      </w:r>
      <w:r>
        <w:rPr>
          <w:rFonts w:hint="eastAsia"/>
          <w:lang w:bidi="ar"/>
        </w:rPr>
        <w:t>基础概况信息</w:t>
      </w:r>
    </w:p>
    <w:p w14:paraId="7653708C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优化算子范围及描述。（算子名称、算子类型、算子核心功能描述）</w:t>
      </w:r>
    </w:p>
    <w:p w14:paraId="7A11A1B1">
      <w:pPr>
        <w:pStyle w:val="00000b"/>
        <w:rPr>
          <w:rFonts w:hint="eastAsia"/>
          <w:lang w:bidi="ar"/>
        </w:rPr>
      </w:pPr>
      <w:r>
        <w:rPr>
          <w:rFonts w:hint="eastAsia"/>
        </w:rPr>
        <w:t xml:space="preserve">2.2 </w:t>
      </w:r>
      <w:r>
        <w:rPr>
          <w:rFonts w:hint="eastAsia"/>
          <w:lang w:bidi="ar"/>
        </w:rPr>
        <w:t>评测基准环境</w:t>
      </w:r>
    </w:p>
    <w:p w14:paraId="117506CE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描述硬件设备型号、算力集群配置、系统版本、开发框架及版本、编译环境、驱动版本、组网环境参数等。</w:t>
      </w:r>
    </w:p>
    <w:p w14:paraId="5192B7EB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若采用公开评测库，标注来源和相关信息（软硬件版本、芯片型号、编译组件、内置算子库版本信息等）。</w:t>
      </w:r>
    </w:p>
    <w:p w14:paraId="04A69D39">
      <w:pPr>
        <w:pStyle w:val="00000b"/>
        <w:rPr>
          <w:rFonts w:hint="eastAsia"/>
          <w:lang w:bidi="ar"/>
        </w:rPr>
      </w:pPr>
      <w:r>
        <w:rPr>
          <w:lang w:bidi="ar"/>
        </w:rPr>
        <w:t xml:space="preserve">2.3 </w:t>
      </w:r>
      <w:r>
        <w:rPr>
          <w:rFonts w:hint="eastAsia"/>
          <w:lang w:bidi="ar"/>
        </w:rPr>
        <w:t>评测基准数据</w:t>
      </w:r>
    </w:p>
    <w:p w14:paraId="06EA47F0">
      <w:pPr>
        <w:widowControl w:val="1"/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指定评测数据集名称、数据集规模、采样格式、测试输入参数、统一评测标准与基线规则</w:t>
      </w:r>
    </w:p>
    <w:p w14:paraId="64D66673">
      <w:pPr>
        <w:pStyle w:val="00000b"/>
        <w:rPr>
          <w:rFonts w:hint="eastAsia"/>
          <w:lang w:bidi="ar"/>
        </w:rPr>
      </w:pPr>
      <w:r>
        <w:rPr>
          <w:lang w:bidi="ar"/>
        </w:rPr>
        <w:t xml:space="preserve">2.4 </w:t>
      </w:r>
      <w:r>
        <w:rPr>
          <w:rFonts w:hint="eastAsia"/>
          <w:lang w:bidi="ar"/>
        </w:rPr>
        <w:t>核心优化方案</w:t>
      </w:r>
    </w:p>
    <w:p w14:paraId="102546B0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整体优化思路、算法改造逻辑、算子结构优化、内存/显存优化、调度策略优化、指令级优化、兼容适配改造要点。</w:t>
      </w:r>
    </w:p>
    <w:p w14:paraId="0115798D">
      <w:pPr>
        <w:pStyle w:val="00000b"/>
        <w:rPr>
          <w:rFonts w:hint="eastAsia"/>
          <w:lang w:bidi="ar"/>
        </w:rPr>
      </w:pPr>
      <w:r>
        <w:rPr>
          <w:lang w:bidi="ar"/>
        </w:rPr>
        <w:t xml:space="preserve">2.5 </w:t>
      </w:r>
      <w:r>
        <w:rPr>
          <w:rFonts w:hint="eastAsia"/>
          <w:lang w:bidi="ar"/>
        </w:rPr>
        <w:t>量化优化指标</w:t>
      </w:r>
    </w:p>
    <w:p w14:paraId="2FE4BEC3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测试指标：原始算子推理耗时、单批/单Token吞吐率、响应时延、显存/算力占用、运行功耗、计算精度、错误率等原始基准数据（罗列涉及指标）。</w:t>
      </w:r>
    </w:p>
    <w:p w14:paraId="7576FC94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评价指标：优化后吞吐提升率、时延降幅、算力/显存占用节省率、功耗优化幅度、推理速度增益、规模化运行效率提升等对比量化数据（罗列涉及指标）。</w:t>
      </w:r>
    </w:p>
    <w:p w14:paraId="70C4B8E1">
      <w:pPr>
        <w:pStyle w:val="00000b"/>
        <w:rPr>
          <w:rFonts w:hint="eastAsia"/>
          <w:lang w:bidi="ar"/>
        </w:rPr>
      </w:pPr>
      <w:r>
        <w:rPr>
          <w:lang w:bidi="ar"/>
        </w:rPr>
        <w:t xml:space="preserve">2.6 </w:t>
      </w:r>
      <w:r>
        <w:rPr>
          <w:rFonts w:hint="eastAsia"/>
          <w:lang w:bidi="ar"/>
        </w:rPr>
        <w:t>精度与稳定性提升（若涉及）</w:t>
      </w:r>
    </w:p>
    <w:p w14:paraId="45F582C1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可能涉及：模型推理精度损耗、结果一致性、误差波动范围、长时间运行稳定性、批量任务适配性、异常容错能力等。</w:t>
      </w:r>
    </w:p>
    <w:p w14:paraId="76A5F90E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</w:p>
    <w:p w14:paraId="58509136">
      <w:pPr>
        <w:pStyle w:val="000003"/>
      </w:pP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大模型推理提效赛</w:t>
      </w:r>
    </w:p>
    <w:p w14:paraId="25DF99AA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可采用开源Qwen系列、DeepSeek系列等模型。评比按照硬件规模和模型量级大小综合评判。模型量级：1）轻量级，参数规模≤10B；2）中量级，参数规模10B-100B；3）重量级，参数规模≥100B。</w:t>
      </w:r>
    </w:p>
    <w:p w14:paraId="0E16C875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推荐OpenCompass、SimpleEvals、AISBench、EvalScope等测试工具。性能数据集按输入/输出长度构造，覆盖256/256、512/512、1024/1024、2048/1024、2048/2048、3072/1024等组合。精度数据集可采用C-EVAL、MMLU、MATH-500等数据集。服务压测数据覆盖单轮问答、多轮问答和长上下文生成等。</w:t>
      </w:r>
    </w:p>
    <w:p w14:paraId="1B14DEBD">
      <w:pPr>
        <w:rPr>
          <w:rFonts w:hint="eastAsia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firstRow="1" w:lastRow="0" w:firstColumn="1" w:lastColumn="0" w:noHBand="0" w:noVBand="1" w:val="04A0"/>
      </w:tblPr>
      <w:tblGrid>
        <w:gridCol w:w="3114"/>
        <w:gridCol w:w="2977"/>
        <w:gridCol w:w="2205"/>
      </w:tblGrid>
      <w:tr>
        <w:trPr>
          <w:trHeight w:val="283"/>
          <w:tblHeader w:val="1"/>
        </w:trPr>
        <w:tc>
          <w:tcPr>
            <w:tcW w:w="3114" w:type="dxa"/>
            <w:vAlign w:val="center"/>
          </w:tcPr>
          <w:p w14:paraId="0AB1AEE9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项目</w:t>
            </w:r>
          </w:p>
        </w:tc>
        <w:tc>
          <w:tcPr>
            <w:tcW w:w="2977" w:type="dxa"/>
            <w:vAlign w:val="center"/>
          </w:tcPr>
          <w:p w14:paraId="5D8FE79A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内容</w:t>
            </w:r>
          </w:p>
        </w:tc>
        <w:tc>
          <w:tcPr>
            <w:tcW w:w="2205" w:type="dxa"/>
            <w:vAlign w:val="center"/>
          </w:tcPr>
          <w:p w14:paraId="74B4D94E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备注</w:t>
            </w: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2AC30D00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模型名称/版本</w:t>
            </w:r>
          </w:p>
        </w:tc>
        <w:tc>
          <w:tcPr>
            <w:tcW w:w="2977" w:type="dxa"/>
            <w:vAlign w:val="center"/>
          </w:tcPr>
          <w:p w14:paraId="17D690D2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05" w:type="dxa"/>
            <w:vAlign w:val="center"/>
          </w:tcPr>
          <w:p w14:paraId="1D7E7746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323E9C53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参数规模</w:t>
            </w:r>
          </w:p>
        </w:tc>
        <w:tc>
          <w:tcPr>
            <w:tcW w:w="2977" w:type="dxa"/>
            <w:vAlign w:val="center"/>
          </w:tcPr>
          <w:p w14:paraId="26FFFA44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05" w:type="dxa"/>
            <w:vAlign w:val="center"/>
          </w:tcPr>
          <w:p w14:paraId="4530BB93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75B3551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推理框架</w:t>
            </w:r>
          </w:p>
        </w:tc>
        <w:tc>
          <w:tcPr>
            <w:tcW w:w="2977" w:type="dxa"/>
            <w:vAlign w:val="center"/>
          </w:tcPr>
          <w:p w14:paraId="7BD5492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05" w:type="dxa"/>
            <w:vAlign w:val="center"/>
          </w:tcPr>
          <w:p w14:paraId="4064FEC4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推荐以FlagOS为统一基准</w:t>
            </w: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5EEBD7D2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部署方式</w:t>
            </w:r>
          </w:p>
        </w:tc>
        <w:tc>
          <w:tcPr>
            <w:tcW w:w="2977" w:type="dxa"/>
            <w:vAlign w:val="center"/>
          </w:tcPr>
          <w:p w14:paraId="18C3851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05" w:type="dxa"/>
            <w:vAlign w:val="center"/>
          </w:tcPr>
          <w:p w14:paraId="1FD6334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单机/多机</w:t>
            </w:r>
          </w:p>
          <w:p w14:paraId="7779F5C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本地/云端</w:t>
            </w: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0E75E3B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优化方式(如LoRA</w:t>
            </w:r>
            <w:r>
              <w:rPr>
                <w:rFonts w:hint="eastAsia" w:ascii="仿宋" w:hAnsi="仿宋" w:eastAsia="仿宋" w:cs="Times New Roman"/>
                <w:spacing w:val="-100"/>
                <w:sz w:val="24"/>
              </w:rPr>
              <w:t>、</w:t>
            </w:r>
            <w:r>
              <w:rPr>
                <w:rFonts w:hint="eastAsia" w:ascii="仿宋" w:hAnsi="仿宋" w:eastAsia="仿宋" w:cs="Times New Roman"/>
                <w:sz w:val="24"/>
              </w:rPr>
              <w:t>量化等）</w:t>
            </w:r>
          </w:p>
        </w:tc>
        <w:tc>
          <w:tcPr>
            <w:tcW w:w="2977" w:type="dxa"/>
            <w:vAlign w:val="center"/>
          </w:tcPr>
          <w:p w14:paraId="5BADDA9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05" w:type="dxa"/>
            <w:vAlign w:val="center"/>
          </w:tcPr>
          <w:p w14:paraId="37A8B1E5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489E7D7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评测测试工具</w:t>
            </w:r>
          </w:p>
        </w:tc>
        <w:tc>
          <w:tcPr>
            <w:tcW w:w="2977" w:type="dxa"/>
            <w:vAlign w:val="center"/>
          </w:tcPr>
          <w:p w14:paraId="0340CDE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选用并标注测试工具：OpenCompass、SimpleEvals、AISBench、EvalScope（任选其一），说明工具版本及评测配置</w:t>
            </w:r>
          </w:p>
        </w:tc>
        <w:tc>
          <w:tcPr>
            <w:tcW w:w="2205" w:type="dxa"/>
            <w:vAlign w:val="center"/>
          </w:tcPr>
          <w:p w14:paraId="6828A256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6C8E371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测试数据集规格</w:t>
            </w:r>
          </w:p>
        </w:tc>
        <w:tc>
          <w:tcPr>
            <w:tcW w:w="2977" w:type="dxa"/>
            <w:vAlign w:val="center"/>
          </w:tcPr>
          <w:p w14:paraId="26E3786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05" w:type="dxa"/>
            <w:vAlign w:val="center"/>
          </w:tcPr>
          <w:p w14:paraId="7F8E7FD9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55FD69F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测试的持续时间</w:t>
            </w:r>
          </w:p>
        </w:tc>
        <w:tc>
          <w:tcPr>
            <w:tcW w:w="2977" w:type="dxa"/>
            <w:vAlign w:val="center"/>
          </w:tcPr>
          <w:p w14:paraId="75D7AA0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开始时间：</w:t>
            </w:r>
          </w:p>
          <w:p w14:paraId="6DA2EBA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结束时间：</w:t>
            </w:r>
          </w:p>
        </w:tc>
        <w:tc>
          <w:tcPr>
            <w:tcW w:w="2205" w:type="dxa"/>
            <w:vAlign w:val="center"/>
          </w:tcPr>
          <w:p w14:paraId="1E37D537">
            <w:pPr>
              <w:snapToGrid w:val="0"/>
              <w:jc w:val="center"/>
              <w:rPr>
                <w:rFonts w:hint="eastAsia" w:ascii="仿宋" w:hAnsi="仿宋" w:eastAsia="仿宋" w:cs="Times New Roman"/>
                <w:color w:val="C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6EA7B55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测试期间任务处理吞吐率、Token生成速率、首包时延、单步推理时延等运行指标</w:t>
            </w:r>
          </w:p>
        </w:tc>
        <w:tc>
          <w:tcPr>
            <w:tcW w:w="2977" w:type="dxa"/>
            <w:vAlign w:val="center"/>
          </w:tcPr>
          <w:p w14:paraId="32E5682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统计各上下文规格下：任务处理吞吐率、Token生成速率、首包时延（TTFT）、单步推理时延、批量推理性能、长上下文生成稳定性等核心数据</w:t>
            </w:r>
          </w:p>
        </w:tc>
        <w:tc>
          <w:tcPr>
            <w:tcW w:w="2205" w:type="dxa"/>
            <w:vAlign w:val="center"/>
          </w:tcPr>
          <w:p w14:paraId="25D9A95D">
            <w:pPr>
              <w:snapToGrid w:val="0"/>
              <w:jc w:val="center"/>
              <w:rPr>
                <w:rFonts w:hint="eastAsia" w:ascii="仿宋" w:hAnsi="仿宋" w:eastAsia="仿宋" w:cs="Times New Roman"/>
                <w:color w:val="C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6BFC3D5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模型精度指标</w:t>
            </w:r>
          </w:p>
        </w:tc>
        <w:tc>
          <w:tcPr>
            <w:tcW w:w="2977" w:type="dxa"/>
            <w:vAlign w:val="center"/>
          </w:tcPr>
          <w:p w14:paraId="46CA2DC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统计C-EVAL、MMLU、MATH-500数据集对应评测得分，验证优化后模型精度无损失、能力对齐基准</w:t>
            </w:r>
          </w:p>
        </w:tc>
        <w:tc>
          <w:tcPr>
            <w:tcW w:w="2205" w:type="dxa"/>
            <w:vAlign w:val="center"/>
          </w:tcPr>
          <w:p w14:paraId="554B6989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6775F40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测试期间硬件平均利用率（注明口径）</w:t>
            </w:r>
          </w:p>
        </w:tc>
        <w:tc>
          <w:tcPr>
            <w:tcW w:w="2977" w:type="dxa"/>
            <w:vAlign w:val="center"/>
          </w:tcPr>
          <w:p w14:paraId="3320B4F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05" w:type="dxa"/>
            <w:vAlign w:val="center"/>
          </w:tcPr>
          <w:p w14:paraId="08CB7FEA">
            <w:pPr>
              <w:snapToGrid w:val="0"/>
              <w:jc w:val="center"/>
              <w:rPr>
                <w:rFonts w:hint="eastAsia" w:ascii="仿宋" w:hAnsi="仿宋" w:eastAsia="仿宋" w:cs="Times New Roman"/>
                <w:color w:val="C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  <w:tr>
        <w:trPr>
          <w:trHeight w:val="283"/>
        </w:trPr>
        <w:tc>
          <w:tcPr>
            <w:tcW w:w="3114" w:type="dxa"/>
            <w:vAlign w:val="center"/>
          </w:tcPr>
          <w:p w14:paraId="7799F78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测试期间能耗</w:t>
            </w:r>
          </w:p>
        </w:tc>
        <w:tc>
          <w:tcPr>
            <w:tcW w:w="2977" w:type="dxa"/>
            <w:vAlign w:val="center"/>
          </w:tcPr>
          <w:p w14:paraId="68BA3C2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05" w:type="dxa"/>
            <w:vAlign w:val="center"/>
          </w:tcPr>
          <w:p w14:paraId="4BA29EFA">
            <w:pPr>
              <w:snapToGrid w:val="0"/>
              <w:jc w:val="center"/>
              <w:rPr>
                <w:rFonts w:hint="eastAsia" w:ascii="仿宋" w:hAnsi="仿宋" w:eastAsia="仿宋" w:cs="Times New Roman"/>
                <w:color w:val="C00000"/>
                <w:sz w:val="24"/>
              </w:rPr>
            </w:pPr>
            <w:r>
              <w:rPr>
                <w:rFonts w:hint="eastAsia" w:ascii="仿宋" w:hAnsi="仿宋" w:eastAsia="仿宋" w:cs="Times New Roman"/>
                <w:color w:val="C00000"/>
                <w:sz w:val="24"/>
              </w:rPr>
              <w:t>截图佐证</w:t>
            </w:r>
          </w:p>
        </w:tc>
      </w:tr>
    </w:tbl>
    <w:p w14:paraId="45F4F656">
      <w:pPr>
        <w:rPr>
          <w:rFonts w:hint="eastAsia"/>
        </w:rPr>
      </w:pPr>
    </w:p>
    <w:p w14:paraId="619B1ADB">
      <w:pPr>
        <w:pStyle w:val="000003"/>
      </w:pPr>
      <w:r>
        <w:rPr>
          <w:rFonts w:hint="eastAsia"/>
        </w:rPr>
        <w:t>4 行业智能体实战赛</w:t>
      </w:r>
    </w:p>
    <w:p w14:paraId="166226B1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行业智能体实战赛分为智慧客服工单、企业经营分析、工业设备运维等方向，参赛队伍区域赛提交自测数据集评测结果。</w:t>
      </w:r>
    </w:p>
    <w:p w14:paraId="4E7313B1">
      <w:pPr>
        <w:rPr>
          <w:rFonts w:hint="eastAsia"/>
        </w:rPr>
      </w:pPr>
    </w:p>
    <w:tbl>
      <w:tblPr>
        <w:tblW w:w="0" w:type="auto"/>
        <w:tblInd w:w="-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016"/>
        <w:gridCol w:w="2268"/>
        <w:gridCol w:w="5040"/>
      </w:tblGrid>
      <w:tr>
        <w:trPr>
          <w:trHeight w:val="390"/>
          <w:tblHeader w:val="1"/>
        </w:trPr>
        <w:tc>
          <w:tcPr>
            <w:tcW w:w="1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73A67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项目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857BD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内容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AAABB">
            <w:pPr>
              <w:snapToGrid w:val="0"/>
              <w:jc w:val="center"/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</w:pPr>
            <w:r>
              <w:rPr>
                <w:rFonts w:hint="eastAsia" w:ascii="黑体" w:hAnsi="黑体" w:eastAsia="黑体" w:cs="Times New Roman"/>
                <w:b w:val="1"/>
                <w:bCs w:val="1"/>
                <w:sz w:val="24"/>
              </w:rPr>
              <w:t>备注</w:t>
            </w:r>
          </w:p>
        </w:tc>
      </w:tr>
      <w:tr>
        <w:trPr>
          <w:trHeight w:val="391"/>
        </w:trPr>
        <w:tc>
          <w:tcPr>
            <w:tcW w:w="101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5DA5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硬件与部署环境信息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6D33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硬件设备型号与配置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2A081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详细填报推理/训练硬件型号、CPU/GPU核心配置、显存/内存大小、算力基础参数，明确本地/云端设备属性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84870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FA86E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部署运行环境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D8990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填报操作系统、框架版本、依赖库版本、编译运行环境等全套软件栈信息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AFBD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C98E8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部署架构方式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2FDC2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明确单机/多机部署、单卡/多卡部署模式，说明分布式调度、并行推理等部署配置</w:t>
            </w:r>
          </w:p>
        </w:tc>
      </w:tr>
      <w:tr>
        <w:trPr>
          <w:trHeight w:val="391"/>
        </w:trPr>
        <w:tc>
          <w:tcPr>
            <w:tcW w:w="101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55E60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智能体架构与技术方案信息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25D7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基础大模型信息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8A135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填报依托的开源模型名称、版本、参数量级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F32F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3A36C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智能体整体架构设计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130CA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梳理智能体核心架构模块，包含意图识别、记忆模块、任务规划、工具调用、RAG检索、输出校验等核心组件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E811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B6AAF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核心优化方案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883CE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填报模型量化、Prompt工程、知识库优化、检索增强优化、工具编排优化、多轮记忆优化、算子优化等全部提效提质手段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3EAC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35705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知识库构建信息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E3C87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收集行业知识库来源、数据量级、数据清洗方式、向量库构建参数、检索策略等核心信息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55B4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DC73B7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工具调用能力配置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FE5AF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统计智能体可调用工具数量、工具适配场景、自动调用成功率、多工具组合编排能力</w:t>
            </w:r>
          </w:p>
        </w:tc>
      </w:tr>
      <w:tr>
        <w:trPr>
          <w:trHeight w:val="391"/>
        </w:trPr>
        <w:tc>
          <w:tcPr>
            <w:tcW w:w="101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1BC18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测试数据集与评测配置信息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9D2F0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通用评测数据集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E2284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列明评测所用公开数据集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64D97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B4EC2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行业专属测试数据集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92518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列明评测所用专属数据集的基本规格及类型信息等</w:t>
            </w:r>
          </w:p>
        </w:tc>
      </w:tr>
      <w:tr>
        <w:trPr>
          <w:trHeight w:val="391"/>
        </w:trPr>
        <w:tc>
          <w:tcPr>
            <w:tcW w:w="101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91A1C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核心测试结果数据（业务质量&amp;性能）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BA01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业务准确率指标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9EFEB">
            <w:pPr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列明业务场景及对应的准确率等指标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E495E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82D09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推理性能指标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C4BC36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收集全场景下智能体响应时延、首包响应时长、任务处理吞吐率、多轮交互稳定性、长文本生成效率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13A889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56436">
            <w:pPr>
              <w:widowControl w:val="1"/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内容合规质量指标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5260A7">
            <w:pPr>
              <w:widowControl w:val="1"/>
              <w:snapToGrid w:val="0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统计智能体输出内容合规率、无错误率、复杂场景适配成功率、异常场景容错通过率（如有）</w:t>
            </w:r>
          </w:p>
        </w:tc>
      </w:tr>
      <w:tr>
        <w:trPr>
          <w:trHeight w:val="391"/>
        </w:trPr>
        <w:tc>
          <w:tcPr>
            <w:tcW w:w="1016" w:type="dxa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D5CC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测试佐证信息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D8C4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测试起止时间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3B1991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（截图佐证）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CDE8E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2AE8D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硬件资源占用平均利用率（标明统计口径）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F1D35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（截图佐证）</w:t>
            </w:r>
          </w:p>
        </w:tc>
      </w:tr>
      <w:tr>
        <w:trPr>
          <w:trHeight w:val="391"/>
        </w:trPr>
        <w:tc>
          <w:tcPr>
            <w:tcW w:w="1016" w:type="dxa"/>
            <w:vMerge w:val="continu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7456A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5EAB2F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测试期间能耗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9DBFB">
            <w:pPr>
              <w:snapToGrid w:val="0"/>
              <w:jc w:val="center"/>
              <w:rPr>
                <w:rFonts w:hint="eastAsia" w:ascii="仿宋" w:hAnsi="仿宋" w:eastAsia="仿宋" w:cs="Times New Roman"/>
                <w:sz w:val="24"/>
              </w:rPr>
            </w:pPr>
            <w:r>
              <w:rPr>
                <w:rFonts w:hint="eastAsia" w:ascii="仿宋" w:hAnsi="仿宋" w:eastAsia="仿宋" w:cs="Times New Roman"/>
                <w:sz w:val="24"/>
              </w:rPr>
              <w:t>（截图佐证）</w:t>
            </w:r>
          </w:p>
        </w:tc>
      </w:tr>
    </w:tbl>
    <w:p w14:paraId="0FE0E9E1">
      <w:pPr>
        <w:widowControl w:val="1"/>
        <w:spacing w:line="14" w:lineRule="exact"/>
        <w:jc w:val="left"/>
        <w:rPr>
          <w:rFonts w:ascii="Times New Roman" w:hAnsi="Times New Roman" w:eastAsia="宋体" w:cs="Times New Roman"/>
          <w:kern w:val="0"/>
          <w:sz w:val="24"/>
          <w:szCs w:val="28"/>
        </w:rPr>
      </w:pPr>
      <w:r>
        <w:rPr>
          <w:rFonts w:ascii="Times New Roman" w:hAnsi="Times New Roman" w:eastAsia="宋体" w:cs="Times New Roman"/>
          <w:kern w:val="0"/>
          <w:sz w:val="24"/>
          <w:szCs w:val="28"/>
        </w:rPr>
        <w:br w:type="page"/>
      </w:r>
    </w:p>
    <w:p w14:paraId="42792319">
      <w:pPr>
        <w:pStyle w:val="000009"/>
      </w:pPr>
      <w:r>
        <w:rPr>
          <w:rFonts w:hint="eastAsia"/>
        </w:rPr>
        <w:t>第六部分：承诺函</w:t>
      </w:r>
    </w:p>
    <w:p w14:paraId="3C443F10">
      <w:pPr>
        <w:pStyle w:val="000024"/>
        <w:ind w:firstLine="0" w:firstLineChars="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“华彩杯”算力创新应用大赛组委会：</w:t>
      </w:r>
    </w:p>
    <w:p w14:paraId="21341F82">
      <w:pPr>
        <w:pStyle w:val="000024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</w:p>
    <w:p w14:paraId="67A977C5">
      <w:pPr>
        <w:pStyle w:val="000024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  <w:u w:val="single"/>
        </w:rPr>
        <w:t>　　北京青羽智行科技有限公司　　</w:t>
      </w: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郑重承诺，现</w:t>
      </w:r>
      <w:r>
        <w:rPr>
          <w:rFonts w:hint="eastAsia" w:ascii="Times New Roman" w:hAnsi="Times New Roman" w:eastAsia="黑体" w:cs="Times New Roman"/>
          <w:bCs w:val="1"/>
          <w:sz w:val="28"/>
          <w:szCs w:val="28"/>
          <w:u w:val="single"/>
        </w:rPr>
        <w:t>就　　AI 原生智能销售管理平台（CRM-AI-Native）　　参与</w:t>
      </w: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本次“华彩杯”算力创新应用大赛的相关事宜，声明如下：</w:t>
      </w:r>
    </w:p>
    <w:p w14:paraId="6B64AD96">
      <w:pPr>
        <w:pStyle w:val="000024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1.本单位对提供参赛的全部资料的真实性负责，全部参赛材料为本单位（联合团队）所有，项目内容不涉及且未泄露国家秘密、商业秘密及其他不宜公开的信息。</w:t>
      </w:r>
    </w:p>
    <w:p w14:paraId="10643859">
      <w:pPr>
        <w:pStyle w:val="000024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2.本单位（联合团队）拥有参赛核心方案的所有权和知识产权，项目内容涉及的产品、技术及相关专利等知识产权均未侵犯他人合法权益。</w:t>
      </w:r>
    </w:p>
    <w:p w14:paraId="6FD274B0">
      <w:pPr>
        <w:pStyle w:val="000024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3.已确认申报材料中所有文字、图片、数据等内容审核无误。</w:t>
      </w:r>
    </w:p>
    <w:p w14:paraId="77D37347">
      <w:pPr>
        <w:pStyle w:val="000024"/>
        <w:ind w:firstLine="560"/>
        <w:jc w:val="left"/>
        <w:rPr>
          <w:rFonts w:ascii="Times New Roman" w:hAnsi="Times New Roman" w:eastAsia="黑体" w:cs="Times New Roman"/>
          <w:bCs w:val="1"/>
          <w:sz w:val="28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4.同意大赛主办方使用参赛项目成果（包括但不限于项目简介、演示材料、图片、视频等）及团队信息，用于大赛宣传推广、成果展示、媒体报道、案例汇编、展览展出等。</w:t>
      </w:r>
    </w:p>
    <w:p w14:paraId="05FA6801">
      <w:pPr>
        <w:pStyle w:val="000024"/>
        <w:ind w:firstLine="560"/>
        <w:jc w:val="left"/>
        <w:rPr>
          <w:rFonts w:ascii="Times New Roman" w:hAnsi="Times New Roman" w:eastAsia="黑体" w:cs="Times New Roman"/>
          <w:bCs w:val="1"/>
          <w:sz w:val="36"/>
          <w:szCs w:val="28"/>
        </w:rPr>
      </w:pPr>
      <w:r>
        <w:rPr>
          <w:rFonts w:hint="eastAsia" w:ascii="Times New Roman" w:hAnsi="Times New Roman" w:eastAsia="黑体" w:cs="Times New Roman"/>
          <w:bCs w:val="1"/>
          <w:sz w:val="28"/>
          <w:szCs w:val="28"/>
        </w:rPr>
        <w:t>本单位（联合团队）对违反上述声明导致的后果承担全部法律责任。</w:t>
      </w:r>
    </w:p>
    <w:p w14:paraId="72748F8E">
      <w:pPr>
        <w:pStyle w:val="000024"/>
        <w:ind w:firstLine="720"/>
        <w:jc w:val="left"/>
        <w:rPr>
          <w:rFonts w:ascii="Times New Roman" w:hAnsi="Times New Roman" w:eastAsia="黑体" w:cs="Times New Roman"/>
          <w:bCs w:val="1"/>
          <w:sz w:val="36"/>
          <w:szCs w:val="28"/>
        </w:rPr>
      </w:pPr>
    </w:p>
    <w:p w14:paraId="7CB42654">
      <w:pPr>
        <w:widowControl w:val="1"/>
        <w:jc w:val="left"/>
        <w:rPr>
          <w:rFonts w:ascii="Times New Roman" w:hAnsi="Times New Roman" w:eastAsia="宋体" w:cs="Times New Roman"/>
          <w:kern w:val="0"/>
          <w:sz w:val="24"/>
          <w:szCs w:val="28"/>
        </w:rPr>
      </w:pPr>
      <w:r>
        <w:rPr>
          <w:rFonts w:cs="Times New Roman"/>
        </w:rPr>
        <w:br w:type="page"/>
      </w:r>
    </w:p>
    <w:p w14:paraId="262F6C83">
      <w:pPr>
        <w:pStyle w:val="000009"/>
      </w:pPr>
      <w:r>
        <w:rPr>
          <w:rFonts w:hint="eastAsia"/>
        </w:rPr>
        <w:t>第七部分：附件</w:t>
      </w:r>
    </w:p>
    <w:p w14:paraId="0462AB25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附件一：牵头单位营业执照；</w:t>
      </w:r>
    </w:p>
    <w:p w14:paraId="584C5DD7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附件二：项目相关的知识产权证明材料，如专利、论文、软著等；</w:t>
      </w:r>
    </w:p>
    <w:p w14:paraId="04B8F22D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  <w:r>
        <w:rPr>
          <w:rFonts w:hint="eastAsia" w:ascii="仿宋" w:hAnsi="仿宋" w:eastAsia="仿宋" w:cs="Times New Roman"/>
          <w:kern w:val="0"/>
          <w:sz w:val="24"/>
          <w:szCs w:val="28"/>
        </w:rPr>
        <w:t>附件三：项目应用成效的证明材料，如测试报告、应用证明、合同关键页扫描件等。</w:t>
      </w:r>
    </w:p>
    <w:p w14:paraId="0DF1F737">
      <w:pPr>
        <w:spacing w:before="195" w:line="360" w:lineRule="auto"/>
        <w:ind w:firstLine="480" w:firstLineChars="200"/>
        <w:rPr>
          <w:rFonts w:hint="eastAsia" w:ascii="仿宋" w:hAnsi="仿宋" w:eastAsia="仿宋" w:cs="Times New Roman"/>
          <w:kern w:val="0"/>
          <w:sz w:val="24"/>
          <w:szCs w:val="28"/>
        </w:rPr>
      </w:pPr>
    </w:p>
    <w:p w14:paraId="72CF53E6">
      <w:pPr>
        <w:pStyle w:val="00000e"/>
      </w:pPr>
      <w:r>
        <w:rPr>
          <w:rFonts w:hint="eastAsia"/>
        </w:rPr>
        <w:t>七、线上报名表补充字段（步骤 2 项目概要之外）</w:t>
      </w:r>
    </w:p>
    <w:p w14:paraId="5899DFB5">
      <w:r>
        <w:rPr>
          <w:rFonts w:hint="eastAsia"/>
          <w:b w:val="1"/>
        </w:rPr>
        <w:t>项目所用算力：</w:t>
      </w:r>
      <w:r>
        <w:rPr>
          <w:rFonts w:hint="eastAsia"/>
        </w:rPr>
        <w:t>项目算力策略为“确定性规则前置＋LLM 按需调用”——九尺子校验 8 项走代码判定、语义检索走 pgvector 向量索引，仅方法论推理与复盘归因调用大模型（接入主流 OpenAI 兼容 API，模型可插拔）。开发与生产均基于 x86_64 通用服务器与云端 CPU/GPU 弹性算力，无专用加速卡依赖；单租户 4 核 8G 云主机即可承载百人级销售团队日常运行，随租户增长水平扩展。</w:t>
      </w:r>
    </w:p>
    <w:p w14:paraId="764F3348">
      <w:r>
        <w:rPr>
          <w:rFonts w:hint="eastAsia"/>
          <w:b w:val="1"/>
        </w:rPr>
        <w:t>建设成本（万元）：</w:t>
      </w:r>
      <w:r>
        <w:rPr>
          <w:rFonts w:hint="eastAsia"/>
        </w:rPr>
        <w:t>约 300（按累计研发投入口径：60290 行自研代码＋团队人力＋云资源。注：此为建议口径，提交前请按真实数字核定修改）。</w:t>
      </w:r>
    </w:p>
    <w:p w14:paraId="5CFB8615">
      <w:r>
        <w:rPr>
          <w:rFonts w:hint="eastAsia"/>
          <w:b w:val="1"/>
        </w:rPr>
        <w:t>经济效益（万元）：</w:t>
      </w:r>
      <w:r>
        <w:rPr>
          <w:rFonts w:hint="eastAsia"/>
        </w:rPr>
        <w:t>已实现收益据实填写；若暂未产生收益填 0（提交前请核定）。</w:t>
      </w:r>
    </w:p>
    <w:p w14:paraId="70D124F5">
      <w:r>
        <w:rPr>
          <w:rFonts w:hint="eastAsia"/>
          <w:b w:val="1"/>
        </w:rPr>
        <w:t>是否使用绿色算力：</w:t>
      </w:r>
      <w:r>
        <w:rPr>
          <w:rFonts w:hint="eastAsia"/>
        </w:rPr>
        <w:t>部分使用——生产环境部署于云服务商数据中心，绿电占比以云厂商年度绿电披露为准；平台通过“确定性规则前置”架构显著减少大模型调用量，单位决策能耗低于同类全大模型方案，符合绿色算力导向。</w:t>
      </w:r>
    </w:p>
    <w:p w14:paraId="7FF35F3B">
      <w:pPr>
        <w:pStyle w:val="000004"/>
      </w:pPr>
      <w:r>
        <w:rPr>
          <w:rFonts w:hint="eastAsia"/>
          <w:b w:val="1"/>
        </w:rPr>
        <w:t>项目代表图片建议：</w:t>
      </w:r>
      <w:r>
        <w:rPr>
          <w:rFonts w:hint="eastAsia"/>
        </w:rPr>
        <w:t>图片一（项目宣传图）用封面宣传图；图片二（系统架构图）用技术架构图；其他可补产品功能总览、商业模式图、市场定位图及产品界面截图（均见 doc/event/bp/ 目录）。</w:t>
      </w:r>
    </w:p>
    <w:p w14:paraId="7FF35F3D">
      <w:pPr>
        <w:pStyle w:val="00000e"/>
        <w:rPr>
          <w:rFonts w:cs="Times New Roman"/>
          <w:b w:val="1"/>
          <w:bCs w:val="1"/>
          <w:sz w:val="32"/>
          <w:szCs w:val="24"/>
        </w:rPr>
      </w:pPr>
      <w:r>
        <w:rPr>
          <w:rFonts w:hint="eastAsia" w:cs="Times New Roman"/>
          <w:b w:val="1"/>
          <w:bCs w:val="1"/>
          <w:sz w:val="32"/>
          <w:szCs w:val="24"/>
        </w:rPr>
        <w:t>八、赛题专项：项目简介与背景需求（各限 500 字）</w:t>
      </w:r>
    </w:p>
    <w:p w14:paraId="7FF35F39">
      <w:pPr>
        <w:pStyle w:val="000004"/>
      </w:pPr>
    </w:p>
    <w:p w14:paraId="7FF35F3E">
      <w:pPr>
        <w:pStyle w:val="000004"/>
      </w:pPr>
      <w:r>
        <w:rPr>
          <w:rFonts w:hint="eastAsia" w:ascii="等线" w:hAnsi="等线" w:eastAsia="等线" w:cs="等线"/>
          <w:kern w:val="2"/>
          <w:sz w:val="21"/>
          <w:szCs w:val="24"/>
        </w:rPr>
        <w:t>B2B 销售正从“记录型 CRM”向“决策型 AI 原生系统”演进，但多数企业仍面临四类核心矛盾：客户信息分散在表格与聊天记录中，商机跟进缺乏标准化阶段管理；超权限报价与线下私自报价失控，治理缺口大；通用 AI 建议不可溯源、不可复核，业务不敢用；行业差异大，定制化改造成本高。本项目——AI 原生智能销售管理平台（CRM-AI-Native），以智能体（Agent）为核心驱动销售全流程，旨在构建“记忆驱动、决策可溯、配置差异化”的新一代销售管理系统。主要建设目标：（1）以客户 360 视图与写时向量化记忆，统一沉淀客户全生命周期数据，实现秒级语义检索；（2）以 S1–S6 商机阶段与审批流引擎，把超权限报价强制纳入决策第 0 闸治理闭环；（3）以 K-M-D 决策引擎（确定性规则校验＋LLM 按需推理），让每条 AI 建议可解释、可溯源、可复核；（4）以配置驱动实现多行业零代码上线，保护多租户架构纯度。预期价值：缩短销售响应时间、降低合规风险、沉淀企业销售知识资产，为 B2B 企业提供可复制的 AI 原生销售数字化转型样板。</w:t>
      </w:r>
    </w:p>
    <w:p w14:paraId="7FF35F40">
      <w:pPr>
        <w:pStyle w:val="00000e"/>
      </w:pPr>
      <w:r>
        <w:rPr>
          <w:rFonts w:hint="eastAsia" w:ascii="等线" w:hAnsi="等线" w:eastAsia="等线" w:cs="等线"/>
          <w:kern w:val="2"/>
          <w:sz w:val="21"/>
          <w:szCs w:val="24"/>
        </w:rPr>
        <w:t>（一）行业发展与技术条件。中国 CRM SaaS 市场保持增长，产品形态正由流程记录型向智能决策型升级；大语言模型、MCP 协议、向量检索等技术近两年趋于成熟，为 AI 原生重构销售系统提供了算力与技术条件——算力已不是门槛，如何把确定性业务规则与 LLM 推理合理分工才是关键，这正是算力赋能业务的必要性所在。（二）数字化转型中的核心挑战。技术维度：销售数据散落异构系统，缺乏统一记忆与语义检索底座；业务维度：商机推进凭个人经验、报价超权限失控、AI 建议与真实业务脱节；组织维度：一线抵触填表，管理层缺乏实时经营视图，治理依赖事后审计。（三）目标客户与需求。平台面向制造、医疗器械、化工等 B2B 行业的中大型销售团队，其共性需求为：客户全貌 10 秒可查、商机阶段化推进有标准、超权限报价强制审批留痕、AI 接诊与报价测算秒级响应且全程可溯源。本项目立项即基于上述客观需求与已验证的真实业务场景，具备明确的行业针对性与落地依据。</w:t>
      </w:r>
    </w:p>
    <w:p w14:paraId="7FF35F44">
      <w:pPr>
        <w:pStyle w:val="000004"/>
      </w:pPr>
      <w:r>
        <w:rPr>
          <w:rFonts w:hint="eastAsia" w:cs="Times New Roman"/>
          <w:b w:val="1"/>
          <w:bCs w:val="1"/>
          <w:sz w:val="32"/>
          <w:szCs w:val="24"/>
        </w:rPr>
        <w:t>九、实用性分析（限 1000 字）</w:t>
      </w:r>
    </w:p>
    <w:p w14:paraId="7FF35F45">
      <w:pPr>
        <w:pStyle w:val="000004"/>
        <w:rPr>
          <w:rFonts w:ascii="等线" w:hAnsi="等线" w:eastAsia="等线" w:cs="等线"/>
          <w:kern w:val="2"/>
          <w:sz w:val="21"/>
          <w:szCs w:val="24"/>
        </w:rPr>
      </w:pPr>
      <w:r>
        <w:rPr>
          <w:rFonts w:hint="eastAsia" w:ascii="等线" w:hAnsi="等线" w:eastAsia="等线" w:cs="等线"/>
          <w:kern w:val="2"/>
          <w:sz w:val="21"/>
          <w:szCs w:val="24"/>
        </w:rPr>
        <w:t>（一）推广示范性。项目实施路径清晰：第一阶段完成平台核心研发，形成 60290 行自有源代码（后端 42629 行、342 个业务模块、78 个业务页面），建成多租户 SaaS 架构、K-M-D 决策引擎、审批流引擎与席位/Token/功能权益三闸计费体系；第二阶段在真实 B2B 销售业务中运行验证，覆盖制造、医疗器械、化工等行业客户，关键指标实测达成——智能接诊平均响应 1.2 分钟、报价测算 42 秒、客户全景 10 秒可查；第三阶段正推进多行业配置化上线，新增业务域零代码改造。阶段性成果：平台稳定支撑多租户销售、审批、计费全流程，形成可复制的交付方案、实施文档与软件著作权等知识产权。市场潜力方面，中国 CRM SaaS 市场持续增长，B2B 销售数字化渗透率仍低；以全国数十万家有销售管理需求的中大型企业测算，若三年覆盖 3000 家企业、平均 50 席位，对应约 15 万席位规模，按人均年订阅费测算市场空间可观，目标份额 1% 即可支撑亿元级收入盘子。项目配置驱动架构具备强示范价值：同一内核可零代码扩展至采购、产品管理等企业域，已在培训中介等新业务域完成可行性评估，可复制、可推广。（二）模式可持续性。运营模式采用公有云 SaaS 多租户为主、私有化部署为辅的双轨制。定价策略为五档套餐订阅制，按席位收费，配套 Token 配额与功能权益差异化，权益随档位单调递增，支持按需升档。成本构成以研发人力为主（累计约 300 万元），云资源边际成本低（单租户 4 核 8G 即可承载百人团队），LLM 调用按需发生、经确定性规则前置后成本大幅压缩。盈利模式为订阅收入为主、实施服务与增值模块为辅，订阅制现金流稳定、毛利率高，商业模式稳定性良好。应用拓展空间大：配置驱动架构使新行业、新业务域低成本接入。推广渠道包括行业展会（如工博会）、权威赛事、行业协会与生态合作伙伴，辅以产品白皮书、技术公众号等内容营销持续获客。收入测算：预计三年实现营收 300 万、900 万、2200 万元，随客户数与席位数爬坡逐步兑现。</w:t>
      </w:r>
    </w:p>
    <w:p w14:paraId="7FF35F42">
      <w:pPr>
        <w:pStyle w:val="00000e"/>
      </w:pPr>
    </w:p>
    <w:p w14:paraId="7FF35F46">
      <w:pPr>
        <w:pStyle w:val="000004"/>
      </w:pPr>
      <w:r>
        <w:rPr>
          <w:rFonts w:hint="eastAsia" w:cs="Times New Roman"/>
          <w:b w:val="1"/>
          <w:bCs w:val="1"/>
          <w:sz w:val="32"/>
          <w:szCs w:val="24"/>
        </w:rPr>
        <w:t>十、效益与价值（限 2000 字）</w:t>
      </w:r>
    </w:p>
    <w:p w14:paraId="7FF35F48">
      <w:pPr>
        <w:pStyle w:val="00000e"/>
      </w:pPr>
      <w:r>
        <w:rPr>
          <w:rFonts w:hint="eastAsia" w:ascii="等线" w:hAnsi="等线" w:eastAsia="等线" w:cs="等线"/>
          <w:kern w:val="2"/>
          <w:sz w:val="21"/>
          <w:szCs w:val="24"/>
        </w:rPr>
        <w:t>（一）需求契合度分析。项目方案与 B2B 销售管理核心需求高度契合，相较常规做法的实质性提升体现在五个方面。其一，客户信息整合：常规做法依赖销售手工整理表格与聊天记录，信息分散、时效差；本方案以客户 360 视图统一聚合工商信息、联系人、商机、合同与回款，配合写时向量化记忆实现跨会话语义检索，客户全景 10 秒可查，较人工汇总由小时级压缩至秒级。其二，商机管理：常规做法凭个人经验推进、过程黑盒；本方案以 S1–S6 标准化阶段与漏斗质量分析实现过程可视、卡点可察、预测有据。其三，报价治理：常规做法靠事后审计，超权限报价与线下私自报价难以约束；本方案将审批流与决策第 0 闸内嵌于业务动作，超权限报价强制触发审批、决策全程留痕，实现事前管控而非事后补救。其四，AI 应用：常规做法接入通用大模型，建议不可溯源、业务不敢用；本方案以确定性规则校验与 LLM 按需推理分工，每条建议可解释、可溯源、可复核，靶向解决“AI 与业务两张皮”的行业痛点。其五，算力与成本契合：常规全大模型方案算力消耗大、成本高；本方案将确定性业务判断前置为规则校验，LLM 仅按需介入复杂推理，单位决策算力成本显著低于同类方案，真正“算力用在刀刃上”，与目标客户的成本承受力精准匹配。（二）实施成效。平台已在真实业务落地并量化见效。内部维度：效率上，智能接诊平均响应 1.2 分钟、报价测算 42 秒、线索零漏接，销售从事务性整理中释放，商机推进有标准、跟进有抓手，线索转化过程可量化管理；成本上，单租户 4 核 8G 即承载百人团队，算力与运维成本可控；风险上，超权限报价闭环治理使管理与合规风险显著下降，审批链路完整追踪、决策标识全程可溯，销售行为达标率实时可见，治理由事后审计转向事中管控；管理上，事件总线实时驱动经营看板与告警监控，异常情况分钟级触达。外部维度：客户获得秒级响应与透明报价体验，满意度提升；管理层获得实时经营视图与决策溯源能力，决策由经验驱动转向数据驱动；平台沉淀的客户、商机与决策数据形成可持续增值的数据资产；多租户数据隔离与审计机制经真实环境验证，为规模化推广奠定信任基础。（三）经济社会效益。经济效益：项目三年营收预测 300 万、900 万、2200 万元，带动收入结构向高毛利 SaaS 订阅升级；拟融资 800 万元投向研发与市场，加速产品迭代与规模复制；已形成软件著作权等知识产权与可估值无形资产，提升企业资产质量；对客户而言，销售人效提升直接转化为获客与转化收益，助力企业由传统记录型软件向 AI 原生决策型系统产业升级。社会效益：科技层面，项目沉淀 15 个可复用方法论 SKILL 与多智能体编排实践，贡献 MCP 生态与 AI 原生工程方法论，推动行业技术进步；就业层面，带动 AI 工程师、实施顾问、客户成功等高质量岗位，促进数字人才集聚；公共服务层面，订阅制低门槛使中小企业也能用得起企业级 AI 销售管理能力，普惠数字工具；环境层面，采用确定性规则前置＋LLM 按需调用的低能耗架构，单位决策算力成本低于同类全大模型方案，生产环境部分使用绿色算力，符合双碳导向；示范层面，项目为 B2B 行业提供“算力用在刀刃上”的 AI 原生转型样板，其多租户治理、决策溯源、配置驱动等实践可向采购、产品管理等领域复制推广，具备标杆示范价值。</w:t>
      </w:r>
    </w:p>
    <w:p w14:paraId="7FF35F4A">
      <w:pPr>
        <w:pStyle w:val="000004"/>
      </w:pPr>
      <w:r>
        <w:rPr>
          <w:rFonts w:hint="eastAsia" w:cs="Times New Roman"/>
          <w:b w:val="1"/>
          <w:bCs w:val="1"/>
          <w:sz w:val="32"/>
          <w:szCs w:val="24"/>
        </w:rPr>
        <w:t>十一、项目内容（限 4000 字）</w:t>
      </w:r>
    </w:p>
    <w:p w14:paraId="7FF35F4B">
      <w:pPr>
        <w:pStyle w:val="000004"/>
        <w:rPr>
          <w:rFonts w:ascii="等线" w:hAnsi="等线" w:eastAsia="等线" w:cs="等线"/>
          <w:kern w:val="2"/>
          <w:sz w:val="21"/>
          <w:szCs w:val="24"/>
        </w:rPr>
      </w:pPr>
      <w:r>
        <w:rPr>
          <w:rFonts w:hint="eastAsia" w:ascii="等线" w:hAnsi="等线" w:eastAsia="等线" w:cs="等线"/>
          <w:kern w:val="2"/>
          <w:sz w:val="21"/>
          <w:szCs w:val="24"/>
        </w:rPr>
        <w:t>（一）设计思路。项目摒弃“传统 CRM＋外挂 AI 插件”的改良路线，以智能体与记忆为核心重构销售管理系统，遵循四条设计原则。其一，记忆驱动：所有客户、商机、对话与业务事件在写入时即完成向量化（写时向量化），基于 PostgreSQL pgvector 扩展实现跨会话语义检索，使系统具备长期记忆与上下文延续能力，销售不重复录入、AI 不丢失历史；向量检索失败时自动降级为关键词检索（fail-open 容错），保证核心业务不因 AI 组件异常而中断。其二，规则与模型分工：业务判断拆分为确定性规则与 LLM 推理两层，K-M-D 决策管道将权限校验、流程合规等 8 项判断交由确定性规则引擎完成（结果可复现、可审计、算力消耗低），LLM 仅按需介入复杂归纳与生成，既保证结论可信又压低单位决策算力成本。其三，治理内嵌：写操作必经决策第 0 闸，超权限动作强制进入审批流并记录决策标识（decision_id），实现零信任写入与全程留痕；AI 助手对真实业务数据只读，写入动作须经显式确认，杜绝越权变更。其四，配置驱动差异化：行业阈值、审批规则、套餐权益全部后台配置化，新增业务域零代码改造，保护多租户架构纯度。技术底座选用 Node.js + Express 后端、PostgreSQL 16（pgvector＋pgcrypto 扩展）存储、原生 HTML/JS 前端；平台经 MCP（Model Context Protocol）协议以双通道（流式 HTTP 与标准输入输出）对外标准化暴露工具能力，支持多智能体编排与事件触发式任务执行，可被手机端、外部业务系统按统一协议调用，形成开放的智能体生态接口。（二）功能框架。平台按“数据层—引擎层—能力层—交互层”四层组织，后端共 42629 行代码、342 个业务模块，前端 78 个业务页面。数据层：多租户粒子数据模型，客户、联系人、商机、合同、审批单、决策记录等核心粒子按 tenant_id 严格隔离，租户用户只读本租户数据、平台管理员经审计通道跨租户运维；八角色 RBAC 权限体系覆盖从一线销售到平台管理员的完整职级；术语、阈值与行业参数由配置中心统一管理，配置变更全量留痕，支持行业差异化而无需修改内核。引擎层：K-M-D 决策引擎，含七维度评估、决策图谱、决策溯源与规则引擎，AI 建议均附概念引用、可解释可复核；审批流引擎，对超权限报价与折扣强制触发审批流程（CRM_APPROVAL_FLOW），审批节点、阈值与路由均可视化配置，审批链路完整追踪；计费引擎，以席位、Token 配额、功能权益三道闸门控制资源与功能，五档套餐权益单调递增，配置、种子数据与代码三源一致性校验防止权益漂移。能力层：智能体平台，经 MCP 协议暴露工具能力，支持多智能体编排与事件触发；知识库与记忆系统，文档、对话、业务事件写时向量化，构成平台长期记忆底座；事件总线，SSE 实时推送任务、审批、商机、粒子、支付等事件域，单连接多路复用，驱动看板与告警。交互层：统一门户，含客户 360 视图、商机看板、销售业绩看板、审批中心、AI 助手对话入口与经营分析，所有 AI 对话持久化存储并纳入闭环分析。（三）业务流程。以核心销售闭环为例。线索接入：新线索进入后由 AI 智能接诊自动建档并生成客户画像（平均响应 1.2 分钟），线索零漏接；客户经营：销售人员从客户 360 视图掌握客户全貌（10 秒可查），聚合工商信息、联系人、历史商机、合同与回款；商机推进：沿 S1–S6 标准化阶段推进，各阶段进入条件、转化率与卡点由系统自动统计，漏斗质量与行为达标率实时可视；报价治理：系统依据配置化的价格基线与折扣权限自动校验，未超权限直接生成报价单（测算 42 秒）；超权限则强制触发审批流：系统按配置的阈值与路由生成审批单，逐级流转至有权限的审批人，审批通过并记录 decision_id 后方可对客报价，审批全程留痕、事后可溯，杜绝线下私自报价造成治理缺口；AI 协同：AI 助手在销售全过程中提供接诊建议、报价测算与话术支持，每条建议可溯源至知识库概念与历史决策，业务敢用、可复核；成交与回款：合同起草、审批、归档与回款跟踪进入管理流程，业绩预测与补差建议同步生成；运营闭环：席位与 Token 消耗经计费三闸实时核算，支撑订阅制运营；全过程事件经总线推送至经营看板，异常情况分钟级告警，形成“业务动作—数据沉淀—AI 反哺—行为优化”的正向循环。（四）资源需求。算力资源：单租户 4 核 8G 云主机即可承载百人规模团队，数据库实例 16GB 内存起步、随数据量线性扩展；LLM 推理按需调用第三方大模型 API，经规则前置后调用量与成本可控，属于典型的低算力、高确定性行业方案，算力投入随席位线性增长、无超线性开销。研发资源：核心研发团队约 10 人，覆盖后端、前端、算法与测试，累计研发投入约 300 万元；后续按“平台内核＋行业配置包”组织迭代，行业扩展以配置与语料投入为主、代码投入为辅。数据资源：客户主数据、行业阈值配置与知识库语料；知识产权方面已形成软件著作权等成果，方法论沉淀为 15 个可复用 SKILL。运维资源：平台内置多租户监控告警、备份容灾与上线检查清单，单名运维人员可管理数十个租户，规模化服务边际成本低。成本测算：以 50 席位租户为例，云资源月成本约数百元、LLM 调用月成本经规则前置后约占订阅收入的低个位数百分比，综合毛利率随规模提升；平台侧研发为固定投入，租户侧边际成本近似线性且极低，支撑订阅制商业模型的盈利确定性。（五）应用场景。平台面向制造、医疗器械、化工等 B2B 行业的中大型销售团队，典型场景有六类。一是超权限报价治理：销售面对客户压价（如要求大比例折扣）时，系统强制走审批流程并留存决策链路，管理层事前管控而非事后追责，实测审批与决策链路全程可溯；二是客户快速接诊：新线索进入后 AI 自动建档、画像并生成跟进建议，避免线索遗漏与响应迟滞，实测平均响应 1.2 分钟；三是销售过程管理：S1–S6 阶段推进、行为达标率与漏斗分析，帮助销售经理识别卡点、精准干预，管理由抽查转向全量可视；四是经营决策支持：管理层经实时看板掌握业绩、预测与风险，AI 决策引擎提供可溯源的辅助判断；五是知识沉淀与复用：销售话术、行业方案、历史案例沉淀入知识库并向量化，新员工快速上手、优秀经验规模复制；六是多租户行业差异化：不同行业租户以配置包实现阈值、审批规则与报表口径的差异化，互不影响、独立演进。平台架构已在培训中介等新业务域完成可行性评估，验证了跨行业复制能力。（六）解决的实际问题。项目针对性解决五类实际问题。其一，客户信息分散：以统一数据模型与写时向量化记忆，把散落在表格、聊天记录与异构系统中的客户信息聚合为客户 360 视图，解决“信息找不到、上下文接不上”。其二，商机管理无标准：以 S1–S6 阶段模型与漏斗质量分析把个人经验转化为可管理、可度量的流程，解决“过程黑盒、预测靠拍脑袋”。其三，超权限报价失控：以审批流内嵌与决策第 0 闸实现事前管控、全程留痕，解决线下私自报价与合规风险。其四，AI 建议不可信：以确定性规则校验、决策溯源与概念引用让每条建议可解释、可复核，解决“AI 与业务两张皮、业务不敢用”。其五，知识随人流失：以知识库与记忆系统把个人经验沉淀为组织资产，解决销售离职带走客户与方法的普遍难题。在工程质量保障上，平台建立分层测试体系：单元测试与集成测试覆盖核心引擎与路由（测试基线数千用例），关键治理逻辑（决策第 0 闸、租户隔离、计费闸门）均有专门回归用例，配置三源一致性比对测试常驻运行；配合代码评审与上线检查清单，保证多租户生产环境稳定迭代。综上，项目以低算力成本实现了销售管理从记录型向决策型的实质升级，推动 AI 真正进入销售生产流程并产生可量化的效率与合规收益。</w:t>
      </w:r>
    </w:p>
    <w:p w14:paraId="7FF35F49">
      <w:pPr>
        <w:pStyle w:val="00000e"/>
        <w:rPr>
          <w:rFonts w:cs="Times New Roman"/>
          <w:b w:val="1"/>
          <w:bCs w:val="1"/>
          <w:sz w:val="32"/>
          <w:szCs w:val="24"/>
        </w:rPr>
      </w:pPr>
    </w:p>
    <w:p w14:paraId="7FF35F47">
      <w:pPr>
        <w:pStyle w:val="000004"/>
        <w:rPr>
          <w:rFonts w:ascii="等线" w:hAnsi="等线" w:eastAsia="等线" w:cs="等线"/>
          <w:kern w:val="2"/>
          <w:sz w:val="21"/>
          <w:szCs w:val="24"/>
        </w:rPr>
      </w:pPr>
    </w:p>
    <w:p w14:paraId="7FF35F43">
      <w:pPr>
        <w:pStyle w:val="00000e"/>
        <w:rPr>
          <w:rFonts w:cs="Times New Roman"/>
          <w:b w:val="1"/>
          <w:bCs w:val="1"/>
          <w:sz w:val="32"/>
          <w:szCs w:val="24"/>
        </w:rPr>
      </w:pPr>
    </w:p>
    <w:p w14:paraId="7FF35F41">
      <w:pPr>
        <w:pStyle w:val="00000e"/>
        <w:rPr>
          <w:rFonts w:cs="Times New Roman"/>
          <w:b w:val="1"/>
          <w:bCs w:val="1"/>
          <w:sz w:val="32"/>
          <w:szCs w:val="24"/>
        </w:rPr>
      </w:pPr>
    </w:p>
    <w:p w14:paraId="7FF35F3F">
      <w:pPr>
        <w:pStyle w:val="000004"/>
        <w:rPr>
          <w:rFonts w:ascii="等线" w:hAnsi="等线" w:eastAsia="等线" w:cs="等线"/>
          <w:kern w:val="2"/>
          <w:sz w:val="21"/>
          <w:szCs w:val="24"/>
        </w:rPr>
      </w:pPr>
    </w:p>
    <w:p w14:paraId="7FF35F3A">
      <w:pPr>
        <w:pStyle w:val="000004"/>
        <w:rPr>
          <w:rFonts w:ascii="等线" w:hAnsi="等线" w:eastAsia="等线" w:cs="等线"/>
          <w:kern w:val="2"/>
          <w:sz w:val="21"/>
          <w:szCs w:val="24"/>
        </w:rPr>
      </w:pPr>
    </w:p>
    <w:p w14:paraId="7FF35F37">
      <w:pPr>
        <w:pStyle w:val="00000e"/>
      </w:pPr>
    </w:p>
    <w:p w14:paraId="2143F32A"/>
    <w:sectPr w:rsidRPr="004741FB" w:rsidR="000162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separator" w:id="1">
    <w:p w14:paraId="104E7A54">
      <w:pPr>
        <w:rPr>
          <w:rFonts w:hint="eastAsia"/>
        </w:rPr>
      </w:pPr>
      <w:r>
        <w:separator/>
      </w:r>
    </w:p>
  </w:endnote>
  <w:endnote w:type="continuationSeparator" w:id="0">
    <w:p w14:paraId="773BB8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 w:characterSet="ISO-8859-1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 w:characterSet="ISO-8859-1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1">
    <w:p w14:paraId="344F48F3">
      <w:pPr>
        <w:rPr>
          <w:rFonts w:hint="eastAsia"/>
        </w:rPr>
      </w:pPr>
      <w:r>
        <w:separator/>
      </w:r>
    </w:p>
  </w:footnote>
  <w:footnote w:type="continuationSeparator" w:id="0">
    <w:p w14:paraId="1A26BE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17013294"/>
    <w:multiLevelType w:val="multilevel"/>
    <w:tmpl w:val="38844E0D"/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0">
      <w:start w:val="1"/>
      <w:numFmt w:val="decimal"/>
      <w:lvlText w:val="%1."/>
      <w:lvlJc w:val="left"/>
      <w:pPr>
        <w:ind w:left="42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</w:abstractNum>
  <w:abstractNum w:abstractNumId="1">
    <w:nsid w:val="38844E0D"/>
    <w:multiLevelType w:val="multilevel"/>
    <w:tmpl w:val="38844E0D"/>
    <w:lvl w:ilvl="2">
      <w:start w:val="1"/>
      <w:numFmt w:val="lowerRoman"/>
      <w:lvlText w:val="%3."/>
      <w:lvlJc w:val="right"/>
      <w:pPr>
        <w:ind w:left="126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nsid w:val="504D56FA"/>
    <w:multiLevelType w:val="multilevel"/>
    <w:tmpl w:val="38844E0D"/>
    <w:lvl w:ilvl="2">
      <w:start w:val="1"/>
      <w:numFmt w:val="lowerRoman"/>
      <w:lvlText w:val="%3."/>
      <w:lvlJc w:val="right"/>
      <w:pPr>
        <w:ind w:left="126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0">
      <w:start w:val="1"/>
      <w:numFmt w:val="decimal"/>
      <w:lvlText w:val="%1."/>
      <w:lvlJc w:val="left"/>
      <w:pPr>
        <w:ind w:left="42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</w:abstractNum>
  <w:abstractNum w:abstractNumId="3">
    <w:nsid w:val="7F1C3B4D"/>
    <w:multiLevelType w:val="multilevel"/>
    <w:tmpl w:val="71A09B34"/>
    <w:lvl w:ilvl="5">
      <w:start w:val="1"/>
      <w:numFmt w:val="lowerRoman"/>
      <w:lvlText w:val="%6."/>
      <w:lvlJc w:val="right"/>
      <w:pPr>
        <w:ind w:left="252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0">
      <w:start w:val="1"/>
      <w:numFmt w:val="chineseCountingThousand"/>
      <w:pStyle w:val="000020"/>
      <w:lvlText w:val="%1、"/>
      <w:lvlJc w:val="left"/>
      <w:pPr>
        <w:ind w:left="420" w:hanging="420"/>
      </w:pPr>
      <w:rPr>
        <w:lang w:val="en-US"/>
      </w:rPr>
    </w:lvl>
  </w:abstractNum>
  <w:abstractNum w:abstractNumId="4">
    <w:nsid w:val="049D1AEC"/>
    <w:multiLevelType w:val="hybridMultilevel"/>
    <w:tmpl w:val="D8C6A8F2"/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0" w:tplc="3C68D476">
      <w:start w:val="1"/>
      <w:numFmt w:val="bullet"/>
      <w:lvlText w:val="·"/>
      <w:lvlJc w:val="left"/>
      <w:pPr>
        <w:ind w:left="440" w:hanging="440"/>
      </w:pPr>
      <w:rPr>
        <w:rFonts w:hint="eastAsia" w:ascii="仿宋_GB2312" w:hAnsi="Wingdings" w:eastAsia="仿宋_GB2312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</w:abstractNum>
  <w:abstractNum w:abstractNumId="5">
    <w:nsid w:val="575A7153"/>
    <w:multiLevelType w:val="multilevel"/>
    <w:tmpl w:val="71A09B34"/>
    <w:lvl w:ilvl="6">
      <w:start w:val="1"/>
      <w:numFmt w:val="decimal"/>
      <w:lvlText w:val="%7."/>
      <w:lvlJc w:val="left"/>
      <w:pPr>
        <w:ind w:left="2940" w:hanging="420"/>
      </w:pPr>
    </w:lvl>
    <w:lvl w:ilvl="0">
      <w:start w:val="1"/>
      <w:numFmt w:val="chineseCountingThousand"/>
      <w:lvlText w:val="%1、"/>
      <w:lvlJc w:val="left"/>
      <w:pPr>
        <w:ind w:left="420" w:hanging="420"/>
      </w:pPr>
      <w:rPr>
        <w:lang w:val="en-US"/>
      </w:r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</w:abstractNum>
  <w:num w:numId="2">
    <w:abstractNumId w:val="0"/>
  </w:num>
  <w:num w:numId="1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enableOpenTypeFeatures" w:uri="http://schemas.microsoft.com/office/word" w:val="1"/>
  </w:compat>
  <w:docVars>
    <w:docVar w:name="commondata" w:val="eyJoZGlkIjoiZmEyNjk3MmRiZGI2NDBlNjRkZTM4NDBmMDYzNjNiNDEifQ=="/>
  </w:docVars>
  <w:rsids>
    <w:rsidRoot w:val="00412E40"/>
    <w:rsid w:val="000062AD"/>
    <w:rsid w:val="000162FE"/>
    <w:rsid w:val="00020E08"/>
    <w:rsid w:val="00026F09"/>
    <w:rsid w:val="00030ED7"/>
    <w:rsid w:val="00047F15"/>
    <w:rsid w:val="00063717"/>
    <w:rsid w:val="00077BFE"/>
    <w:rsid w:val="00086F5F"/>
    <w:rsid w:val="000C0249"/>
    <w:rsid w:val="000C3BAD"/>
    <w:rsid w:val="000D4274"/>
    <w:rsid w:val="000D6369"/>
    <w:rsid w:val="000E2A9D"/>
    <w:rsid w:val="000E6CEB"/>
    <w:rsid w:val="001179EC"/>
    <w:rsid w:val="001246C4"/>
    <w:rsid w:val="00127612"/>
    <w:rsid w:val="00131EDB"/>
    <w:rsid w:val="0014003E"/>
    <w:rsid w:val="00163289"/>
    <w:rsid w:val="00171FB9"/>
    <w:rsid w:val="00182004"/>
    <w:rsid w:val="00184421"/>
    <w:rsid w:val="00186FDA"/>
    <w:rsid w:val="00196ACC"/>
    <w:rsid w:val="001A11DE"/>
    <w:rsid w:val="001B151C"/>
    <w:rsid w:val="001B6560"/>
    <w:rsid w:val="001C1D2B"/>
    <w:rsid w:val="001C3C24"/>
    <w:rsid w:val="001D0926"/>
    <w:rsid w:val="001D2BC2"/>
    <w:rsid w:val="001E0837"/>
    <w:rsid w:val="001E0DBC"/>
    <w:rsid w:val="001F6C28"/>
    <w:rsid w:val="001F727F"/>
    <w:rsid w:val="0021126A"/>
    <w:rsid w:val="00211CAF"/>
    <w:rsid w:val="00217273"/>
    <w:rsid w:val="002205AD"/>
    <w:rsid w:val="00226364"/>
    <w:rsid w:val="00236AC5"/>
    <w:rsid w:val="00251D11"/>
    <w:rsid w:val="00255B44"/>
    <w:rsid w:val="00257C28"/>
    <w:rsid w:val="002768AE"/>
    <w:rsid w:val="00293931"/>
    <w:rsid w:val="002B04D8"/>
    <w:rsid w:val="002B09A0"/>
    <w:rsid w:val="002C142C"/>
    <w:rsid w:val="002C2FF0"/>
    <w:rsid w:val="002D61A0"/>
    <w:rsid w:val="002E524D"/>
    <w:rsid w:val="002F00D4"/>
    <w:rsid w:val="003066EA"/>
    <w:rsid w:val="00311A24"/>
    <w:rsid w:val="003121F1"/>
    <w:rsid w:val="0031446D"/>
    <w:rsid w:val="00330FC6"/>
    <w:rsid w:val="00354826"/>
    <w:rsid w:val="00356D5B"/>
    <w:rsid w:val="003722C7"/>
    <w:rsid w:val="003740E2"/>
    <w:rsid w:val="003860BE"/>
    <w:rsid w:val="00391727"/>
    <w:rsid w:val="003A1342"/>
    <w:rsid w:val="003A7C8C"/>
    <w:rsid w:val="003B062B"/>
    <w:rsid w:val="003B1B52"/>
    <w:rsid w:val="003B3507"/>
    <w:rsid w:val="003B486D"/>
    <w:rsid w:val="003B4965"/>
    <w:rsid w:val="003E0DA5"/>
    <w:rsid w:val="003E31B4"/>
    <w:rsid w:val="003E4AFC"/>
    <w:rsid w:val="003E7426"/>
    <w:rsid w:val="003F0E43"/>
    <w:rsid w:val="003F3E7F"/>
    <w:rsid w:val="00411012"/>
    <w:rsid w:val="004124EC"/>
    <w:rsid w:val="00412E40"/>
    <w:rsid w:val="00416833"/>
    <w:rsid w:val="00424E60"/>
    <w:rsid w:val="00437042"/>
    <w:rsid w:val="00442DB7"/>
    <w:rsid w:val="00447C0C"/>
    <w:rsid w:val="004631EE"/>
    <w:rsid w:val="004741FB"/>
    <w:rsid w:val="00475A71"/>
    <w:rsid w:val="004817FC"/>
    <w:rsid w:val="004B4637"/>
    <w:rsid w:val="004B6CFC"/>
    <w:rsid w:val="004B7A15"/>
    <w:rsid w:val="004D6B6B"/>
    <w:rsid w:val="004E0576"/>
    <w:rsid w:val="004E6FA1"/>
    <w:rsid w:val="004F2974"/>
    <w:rsid w:val="00506092"/>
    <w:rsid w:val="00531093"/>
    <w:rsid w:val="00531D39"/>
    <w:rsid w:val="005538ED"/>
    <w:rsid w:val="00566BFD"/>
    <w:rsid w:val="00573594"/>
    <w:rsid w:val="00577773"/>
    <w:rsid w:val="00592A20"/>
    <w:rsid w:val="005935DB"/>
    <w:rsid w:val="005A16E7"/>
    <w:rsid w:val="005A19EA"/>
    <w:rsid w:val="005A367A"/>
    <w:rsid w:val="005B3E96"/>
    <w:rsid w:val="005B4EA4"/>
    <w:rsid w:val="005B6D35"/>
    <w:rsid w:val="005E2345"/>
    <w:rsid w:val="005E481D"/>
    <w:rsid w:val="005E7CDB"/>
    <w:rsid w:val="005F3697"/>
    <w:rsid w:val="005F3FD8"/>
    <w:rsid w:val="005F416B"/>
    <w:rsid w:val="00601E76"/>
    <w:rsid w:val="00605587"/>
    <w:rsid w:val="0061025B"/>
    <w:rsid w:val="00622221"/>
    <w:rsid w:val="00630C4D"/>
    <w:rsid w:val="006342E9"/>
    <w:rsid w:val="00644152"/>
    <w:rsid w:val="006526D1"/>
    <w:rsid w:val="006649F8"/>
    <w:rsid w:val="006716D0"/>
    <w:rsid w:val="006717F3"/>
    <w:rsid w:val="0067214A"/>
    <w:rsid w:val="00672339"/>
    <w:rsid w:val="00676B6B"/>
    <w:rsid w:val="00680413"/>
    <w:rsid w:val="00692600"/>
    <w:rsid w:val="006A1CC6"/>
    <w:rsid w:val="006B3339"/>
    <w:rsid w:val="006C3819"/>
    <w:rsid w:val="006D6CCC"/>
    <w:rsid w:val="006E0E15"/>
    <w:rsid w:val="006E1F42"/>
    <w:rsid w:val="006E3FBF"/>
    <w:rsid w:val="006E759A"/>
    <w:rsid w:val="006F1147"/>
    <w:rsid w:val="00706745"/>
    <w:rsid w:val="00713E54"/>
    <w:rsid w:val="00716397"/>
    <w:rsid w:val="00717714"/>
    <w:rsid w:val="00726766"/>
    <w:rsid w:val="007322D8"/>
    <w:rsid w:val="00740731"/>
    <w:rsid w:val="00746E66"/>
    <w:rsid w:val="007560BB"/>
    <w:rsid w:val="0077089C"/>
    <w:rsid w:val="00776648"/>
    <w:rsid w:val="007A252A"/>
    <w:rsid w:val="007A3E32"/>
    <w:rsid w:val="007B36AF"/>
    <w:rsid w:val="007B3D3B"/>
    <w:rsid w:val="007D5679"/>
    <w:rsid w:val="007D6F01"/>
    <w:rsid w:val="007E0B3C"/>
    <w:rsid w:val="007E1EE0"/>
    <w:rsid w:val="007E6D5D"/>
    <w:rsid w:val="007E772F"/>
    <w:rsid w:val="007F2C55"/>
    <w:rsid w:val="007F713C"/>
    <w:rsid w:val="008102CC"/>
    <w:rsid w:val="0081424C"/>
    <w:rsid w:val="00816E38"/>
    <w:rsid w:val="008312EB"/>
    <w:rsid w:val="00832B4C"/>
    <w:rsid w:val="00833110"/>
    <w:rsid w:val="00834EB5"/>
    <w:rsid w:val="008431F7"/>
    <w:rsid w:val="00846418"/>
    <w:rsid w:val="00846864"/>
    <w:rsid w:val="00857618"/>
    <w:rsid w:val="00865B8A"/>
    <w:rsid w:val="00871394"/>
    <w:rsid w:val="00872B60"/>
    <w:rsid w:val="0087620C"/>
    <w:rsid w:val="008A3974"/>
    <w:rsid w:val="008A6E74"/>
    <w:rsid w:val="008B13F8"/>
    <w:rsid w:val="008B38D3"/>
    <w:rsid w:val="008B6008"/>
    <w:rsid w:val="008B6251"/>
    <w:rsid w:val="008C21A4"/>
    <w:rsid w:val="008C38CB"/>
    <w:rsid w:val="008F205E"/>
    <w:rsid w:val="008F68D9"/>
    <w:rsid w:val="00906D59"/>
    <w:rsid w:val="00912A70"/>
    <w:rsid w:val="00920261"/>
    <w:rsid w:val="00921277"/>
    <w:rsid w:val="009348B3"/>
    <w:rsid w:val="00942CC0"/>
    <w:rsid w:val="0095231C"/>
    <w:rsid w:val="00952704"/>
    <w:rsid w:val="00952732"/>
    <w:rsid w:val="0095276F"/>
    <w:rsid w:val="009529C8"/>
    <w:rsid w:val="00953B7A"/>
    <w:rsid w:val="00956420"/>
    <w:rsid w:val="009751E3"/>
    <w:rsid w:val="00992424"/>
    <w:rsid w:val="00997484"/>
    <w:rsid w:val="009A417A"/>
    <w:rsid w:val="009B536F"/>
    <w:rsid w:val="009B6FAF"/>
    <w:rsid w:val="009B7B33"/>
    <w:rsid w:val="009C17B5"/>
    <w:rsid w:val="009C3392"/>
    <w:rsid w:val="009C751A"/>
    <w:rsid w:val="009D7F8D"/>
    <w:rsid w:val="009E5A92"/>
    <w:rsid w:val="009F1B93"/>
    <w:rsid w:val="00A017AA"/>
    <w:rsid w:val="00A1323A"/>
    <w:rsid w:val="00A23D84"/>
    <w:rsid w:val="00A26EC0"/>
    <w:rsid w:val="00A27140"/>
    <w:rsid w:val="00A276C6"/>
    <w:rsid w:val="00A33A3D"/>
    <w:rsid w:val="00A37D97"/>
    <w:rsid w:val="00A55CEA"/>
    <w:rsid w:val="00A90A1C"/>
    <w:rsid w:val="00AA7CD0"/>
    <w:rsid w:val="00AB2338"/>
    <w:rsid w:val="00AB4B7A"/>
    <w:rsid w:val="00AB5C5E"/>
    <w:rsid w:val="00AD1CF7"/>
    <w:rsid w:val="00AD268F"/>
    <w:rsid w:val="00AD4BF4"/>
    <w:rsid w:val="00AE132F"/>
    <w:rsid w:val="00AF4041"/>
    <w:rsid w:val="00AF6A12"/>
    <w:rsid w:val="00B05069"/>
    <w:rsid w:val="00B1717E"/>
    <w:rsid w:val="00B21B94"/>
    <w:rsid w:val="00B23F36"/>
    <w:rsid w:val="00B379B3"/>
    <w:rsid w:val="00B41C1A"/>
    <w:rsid w:val="00B42095"/>
    <w:rsid w:val="00B42EB5"/>
    <w:rsid w:val="00B45F34"/>
    <w:rsid w:val="00B5060F"/>
    <w:rsid w:val="00B51FD5"/>
    <w:rsid w:val="00B536E4"/>
    <w:rsid w:val="00B645E7"/>
    <w:rsid w:val="00B64975"/>
    <w:rsid w:val="00B721F1"/>
    <w:rsid w:val="00B872A4"/>
    <w:rsid w:val="00BA45D5"/>
    <w:rsid w:val="00BA68E1"/>
    <w:rsid w:val="00BA7240"/>
    <w:rsid w:val="00BA79AF"/>
    <w:rsid w:val="00BB4436"/>
    <w:rsid w:val="00BC620C"/>
    <w:rsid w:val="00BD0042"/>
    <w:rsid w:val="00BE184B"/>
    <w:rsid w:val="00BE63A9"/>
    <w:rsid w:val="00BF0E54"/>
    <w:rsid w:val="00BF74F0"/>
    <w:rsid w:val="00C017AB"/>
    <w:rsid w:val="00C041F1"/>
    <w:rsid w:val="00C04AA7"/>
    <w:rsid w:val="00C11FC2"/>
    <w:rsid w:val="00C12E89"/>
    <w:rsid w:val="00C30489"/>
    <w:rsid w:val="00C31890"/>
    <w:rsid w:val="00C31930"/>
    <w:rsid w:val="00C32F5D"/>
    <w:rsid w:val="00C33DD7"/>
    <w:rsid w:val="00C3759B"/>
    <w:rsid w:val="00C37960"/>
    <w:rsid w:val="00C42F75"/>
    <w:rsid w:val="00C441B8"/>
    <w:rsid w:val="00C5146D"/>
    <w:rsid w:val="00C53480"/>
    <w:rsid w:val="00C65868"/>
    <w:rsid w:val="00C70908"/>
    <w:rsid w:val="00C828FB"/>
    <w:rsid w:val="00C90090"/>
    <w:rsid w:val="00C910B0"/>
    <w:rsid w:val="00C924C7"/>
    <w:rsid w:val="00C9448D"/>
    <w:rsid w:val="00C94B98"/>
    <w:rsid w:val="00CB29CD"/>
    <w:rsid w:val="00CD67C5"/>
    <w:rsid w:val="00CE23F1"/>
    <w:rsid w:val="00CE2BC5"/>
    <w:rsid w:val="00CE3BD1"/>
    <w:rsid w:val="00CE65D4"/>
    <w:rsid w:val="00CF7E65"/>
    <w:rsid w:val="00D049FD"/>
    <w:rsid w:val="00D04D6C"/>
    <w:rsid w:val="00D06640"/>
    <w:rsid w:val="00D22944"/>
    <w:rsid w:val="00D30E49"/>
    <w:rsid w:val="00D32155"/>
    <w:rsid w:val="00D54322"/>
    <w:rsid w:val="00D55742"/>
    <w:rsid w:val="00D7114D"/>
    <w:rsid w:val="00D7291B"/>
    <w:rsid w:val="00D93AAB"/>
    <w:rsid w:val="00DA3F4C"/>
    <w:rsid w:val="00DA5DE8"/>
    <w:rsid w:val="00DA655E"/>
    <w:rsid w:val="00DD2939"/>
    <w:rsid w:val="00DE33F3"/>
    <w:rsid w:val="00DE5A2D"/>
    <w:rsid w:val="00DF4ED3"/>
    <w:rsid w:val="00E01B87"/>
    <w:rsid w:val="00E055BF"/>
    <w:rsid w:val="00E169E5"/>
    <w:rsid w:val="00E2181C"/>
    <w:rsid w:val="00E235AB"/>
    <w:rsid w:val="00E6619C"/>
    <w:rsid w:val="00E74F5C"/>
    <w:rsid w:val="00E74FB7"/>
    <w:rsid w:val="00E77826"/>
    <w:rsid w:val="00E84C67"/>
    <w:rsid w:val="00EA1FC9"/>
    <w:rsid w:val="00EB52E1"/>
    <w:rsid w:val="00EC3607"/>
    <w:rsid w:val="00EC6615"/>
    <w:rsid w:val="00ED5023"/>
    <w:rsid w:val="00EE0AF6"/>
    <w:rsid w:val="00EE10C2"/>
    <w:rsid w:val="00EE3132"/>
    <w:rsid w:val="00EF0FBA"/>
    <w:rsid w:val="00EF4D20"/>
    <w:rsid w:val="00EF6C18"/>
    <w:rsid w:val="00F15B65"/>
    <w:rsid w:val="00F1715C"/>
    <w:rsid w:val="00F27A10"/>
    <w:rsid w:val="00F329DF"/>
    <w:rsid w:val="00F562D8"/>
    <w:rsid w:val="00F664C6"/>
    <w:rsid w:val="00F7179D"/>
    <w:rsid w:val="00F7585F"/>
    <w:rsid w:val="00F96D04"/>
    <w:rsid w:val="00FA75C2"/>
    <w:rsid w:val="00FC3026"/>
    <w:rsid w:val="00FC3BF4"/>
    <w:rsid w:val="00FC7257"/>
    <w:rsid w:val="00FD3415"/>
    <w:rsid w:val="00FE34A9"/>
    <w:rsid w:val="00FE3E5B"/>
    <w:rsid w:val="00FE3ED1"/>
    <w:rsid w:val="00FE6C55"/>
    <w:rsid w:val="00FF67EF"/>
    <w:rsid w:val="3EA175FF"/>
    <w:rsid w:val="540E02BB"/>
    <w:rsid w:val="5799790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Table List 4" w:semiHidden="1" w:unhideWhenUsed="1"/>
    <w:lsdException w:name="Medium List 1 Accent 2" w:uiPriority="65"/>
    <w:lsdException w:name="Medium Grid 3" w:uiPriority="69"/>
    <w:lsdException w:name="Grid Table 6 Colorful Accent 6" w:uiPriority="51"/>
    <w:lsdException w:name="header" w:unhideWhenUsed="1" w:qFormat="1"/>
    <w:lsdException w:name="List Table 7 Colorful Accent 1" w:uiPriority="52"/>
    <w:lsdException w:name="Title" w:uiPriority="10" w:qFormat="1"/>
    <w:lsdException w:name="Grid Table 4 Accent 2" w:uiPriority="49"/>
    <w:lsdException w:name="List Table 2 Accent 2" w:uiPriority="47"/>
    <w:lsdException w:name="Grid Table 6 Colorful Accent 1" w:uiPriority="51"/>
    <w:lsdException w:name="Body Text Indent 3" w:semiHidden="1" w:unhideWhenUsed="1"/>
    <w:lsdException w:name="Grid Table 4 Accent 1" w:uiPriority="49"/>
    <w:lsdException w:name="Plain Table 1" w:uiPriority="41"/>
    <w:lsdException w:name="List Table 1 Light" w:uiPriority="46"/>
    <w:lsdException w:name="List Table 7 Colorful Accent 6" w:uiPriority="52"/>
    <w:lsdException w:name="Table Classic 3" w:semiHidden="1" w:unhideWhenUsed="1"/>
    <w:lsdException w:name="Grid Table 4 Accent 5" w:uiPriority="49"/>
    <w:lsdException w:name="Body Text" w:uiPriority="1" w:qFormat="1"/>
    <w:lsdException w:name="Grid Table 1 Light Accent 1" w:uiPriority="46"/>
    <w:lsdException w:name="Grid Table 4 Accent 4" w:uiPriority="49"/>
    <w:lsdException w:name="Table Classic 2" w:semiHidden="1" w:unhideWhenUsed="1"/>
    <w:lsdException w:name="Grid Table 1 Light Accent 2" w:uiPriority="46"/>
    <w:lsdException w:name="HTML Keyboard" w:semiHidden="1" w:unhideWhenUsed="1"/>
    <w:lsdException w:name="Medium Shading 2" w:uiPriority="64"/>
    <w:lsdException w:name="Table List 1" w:semiHidden="1" w:unhideWhenUsed="1"/>
    <w:lsdException w:name="index 5" w:semiHidden="1" w:unhideWhenUsed="1"/>
    <w:lsdException w:name="index 4" w:semiHidden="1" w:unhideWhenUsed="1"/>
    <w:lsdException w:name="Table Grid 7" w:semiHidden="1" w:unhideWhenUsed="1"/>
    <w:lsdException w:name="Grid Table 1 Light Accent 6" w:uiPriority="46"/>
    <w:lsdException w:name="Medium Grid 2 Accent 1" w:uiPriority="68"/>
    <w:lsdException w:name="caption" w:uiPriority="35" w:semiHidden="1" w:unhideWhenUsed="1" w:qFormat="1"/>
    <w:lsdException w:name="Light List Accent 1" w:uiPriority="61"/>
    <w:lsdException w:name="Body Text 2" w:semiHidden="1" w:unhideWhenUsed="1"/>
    <w:lsdException w:name="Medium Grid 1 Accent 1" w:uiPriority="67"/>
    <w:lsdException w:name="Dark List Accent 2" w:uiPriority="70"/>
    <w:lsdException w:name="List Table 7 Colorful" w:uiPriority="52"/>
    <w:lsdException w:name="List Table 2" w:uiPriority="47"/>
    <w:lsdException w:name="Table Theme" w:semiHidden="1" w:unhideWhenUsed="1"/>
    <w:lsdException w:name="List Table 1 Light Accent 2" w:uiPriority="46"/>
    <w:lsdException w:name="Table List 7" w:semiHidden="1" w:unhideWhenUsed="1"/>
    <w:lsdException w:name="List Table 1 Light Accent 3" w:uiPriority="46"/>
    <w:lsdException w:name="List Table 3 Accent 1" w:uiPriority="48"/>
    <w:lsdException w:name="Grid Table 2 Accent 4" w:uiPriority="47"/>
    <w:lsdException w:name="Grid Table 4" w:uiPriority="49"/>
    <w:lsdException w:name="line number" w:semiHidden="1" w:unhideWhenUsed="1"/>
    <w:lsdException w:name="Note Heading" w:semiHidden="1" w:unhideWhenUsed="1"/>
    <w:lsdException w:name="Medium List 1" w:uiPriority="65"/>
    <w:lsdException w:name="heading 7" w:uiPriority="9" w:semiHidden="1" w:unhideWhenUsed="1" w:qFormat="1"/>
    <w:lsdException w:name="Grid Table 7 Colorful Accent 2" w:uiPriority="52"/>
    <w:lsdException w:name="index 1" w:semiHidden="1" w:unhideWhenUsed="1"/>
    <w:lsdException w:name="toc 8" w:uiPriority="39" w:semiHidden="1" w:unhideWhenUsed="1"/>
    <w:lsdException w:name="toc 7" w:uiPriority="39" w:semiHidden="1" w:unhideWhenUsed="1"/>
    <w:lsdException w:name="heading 6" w:uiPriority="9" w:semiHidden="1" w:unhideWhenUsed="1" w:qFormat="1"/>
    <w:lsdException w:name="Light Grid Accent 4" w:uiPriority="62"/>
    <w:lsdException w:name="Medium Grid 3 Accent 6" w:uiPriority="69"/>
    <w:lsdException w:name="Grid Table 2 Accent 3" w:uiPriority="47"/>
    <w:lsdException w:name="List Number 4" w:semiHidden="1" w:unhideWhenUsed="1"/>
    <w:lsdException w:name="Grid Table 7 Colorful Accent 3" w:uiPriority="52"/>
    <w:lsdException w:name="No Spacing" w:semiHidden="1" w:unhideWhenUsed="1"/>
    <w:lsdException w:name="toc 2" w:uiPriority="39" w:semiHidden="1" w:unhideWhenUsed="1"/>
    <w:lsdException w:name="HTML Definition" w:semiHidden="1" w:unhideWhenUsed="1"/>
    <w:lsdException w:name="heading 1" w:uiPriority="9" w:qFormat="1"/>
    <w:lsdException w:name="Grid Table 2 Accent 2" w:uiPriority="47"/>
    <w:lsdException w:name="HTML Code" w:semiHidden="1" w:unhideWhenUsed="1"/>
    <w:lsdException w:name="List Table 4 Accent 4" w:uiPriority="49"/>
    <w:lsdException w:name="List Table 6 Colorful Accent 5" w:uiPriority="51"/>
    <w:lsdException w:name="Revision" w:semiHidden="1" w:unhideWhenUsed="1"/>
    <w:lsdException w:name="Medium Grid 1 Accent 4" w:uiPriority="67"/>
    <w:lsdException w:name="Light Shading Accent 3" w:uiPriority="60"/>
    <w:lsdException w:name="Colorful List Accent 2" w:uiPriority="72"/>
    <w:lsdException w:name="Normal (Web)" w:semiHidden="1" w:unhideWhenUsed="1"/>
    <w:lsdException w:name="Grid Table 3 Accent 1" w:uiPriority="48"/>
    <w:lsdException w:name="List Table 5 Dark Accent 1" w:uiPriority="50"/>
    <w:lsdException w:name="E-mail Signature" w:semiHidden="1" w:unhideWhenUsed="1"/>
    <w:lsdException w:name="Block Text" w:semiHidden="1" w:unhideWhenUsed="1"/>
    <w:lsdException w:name="Medium Shading 2 Accent 5" w:uiPriority="64"/>
    <w:lsdException w:name="Grid Table 5 Dark Accent 4" w:uiPriority="50"/>
    <w:lsdException w:name="Light Grid" w:uiPriority="62"/>
    <w:lsdException w:name="Plain Table 3" w:uiPriority="43"/>
    <w:lsdException w:name="Grid Table 5 Dark Accent 5" w:uiPriority="50"/>
    <w:lsdException w:name="List Table 6 Colorful" w:uiPriority="51"/>
    <w:lsdException w:name="Table Grid 6" w:semiHidden="1" w:unhideWhenUsed="1"/>
    <w:lsdException w:name="Grid Table 5 Dark Accent 2" w:uiPriority="50"/>
    <w:lsdException w:name="Table Columns 1" w:semiHidden="1" w:unhideWhenUsed="1"/>
    <w:lsdException w:name="annotation subject" w:semiHidden="1" w:unhideWhenUsed="1" w:qFormat="1"/>
    <w:lsdException w:name="Grid Table 3" w:uiPriority="48"/>
    <w:lsdException w:name="Outline List 2" w:semiHidden="1" w:unhideWhenUsed="1"/>
    <w:lsdException w:name="Table Grid 5" w:semiHidden="1" w:unhideWhenUsed="1"/>
    <w:lsdException w:name="Intense Reference" w:uiPriority="32" w:qFormat="1"/>
    <w:lsdException w:name="Grid Table 2" w:uiPriority="47"/>
    <w:lsdException w:name="Intense Emphasis" w:uiPriority="21" w:qFormat="1"/>
    <w:lsdException w:name="Colorful List Accent 6" w:uiPriority="72"/>
    <w:lsdException w:name="List Bullet 2" w:semiHidden="1" w:unhideWhenUsed="1"/>
    <w:lsdException w:name="List Bullet 5" w:semiHidden="1" w:unhideWhenUsed="1"/>
    <w:lsdException w:name="Unresolved Mention" w:semiHidden="1" w:unhideWhenUsed="1"/>
    <w:lsdException w:name="HTML Acronym" w:semiHidden="1" w:unhideWhenUsed="1"/>
    <w:lsdException w:name="Table 3D effects 1" w:semiHidden="1" w:unhideWhenUsed="1"/>
    <w:lsdException w:name="Colorful List Accent 5" w:uiPriority="72"/>
    <w:lsdException w:name="Plain Table 5" w:uiPriority="45"/>
    <w:lsdException w:name="Table List 6" w:semiHidden="1" w:unhideWhenUsed="1"/>
    <w:lsdException w:name="List Table 1 Light Accent 4" w:uiPriority="46"/>
    <w:lsdException w:name="page number" w:semiHidden="1" w:unhideWhenUsed="1"/>
    <w:lsdException w:name="Colorful Grid Accent 1" w:uiPriority="73"/>
    <w:lsdException w:name="Medium List 2 Accent 4" w:uiPriority="66"/>
    <w:lsdException w:name="FollowedHyperlink" w:semiHidden="1" w:unhideWhenUsed="1"/>
    <w:lsdException w:name="Table Grid" w:uiPriority="39" w:qFormat="1"/>
    <w:lsdException w:name="index heading" w:semiHidden="1" w:unhideWhenUsed="1"/>
    <w:lsdException w:name="List Table 3 Accent 3" w:uiPriority="48"/>
    <w:lsdException w:name="Table Classic 1" w:semiHidden="1" w:unhideWhenUsed="1"/>
    <w:lsdException w:name="endnote reference" w:semiHidden="1" w:unhideWhenUsed="1"/>
    <w:lsdException w:name="List 3" w:semiHidden="1" w:unhideWhenUsed="1"/>
    <w:lsdException w:name="Table Colorful 1" w:semiHidden="1" w:unhideWhenUsed="1"/>
    <w:lsdException w:name="List 2" w:semiHidden="1" w:unhideWhenUsed="1"/>
    <w:lsdException w:name="List Continue" w:semiHidden="1" w:unhideWhenUsed="1"/>
    <w:lsdException w:name="Medium Grid 3 Accent 1" w:uiPriority="69"/>
    <w:lsdException w:name="index 3" w:semiHidden="1" w:unhideWhenUsed="1"/>
    <w:lsdException w:name="toc 6" w:uiPriority="39" w:semiHidden="1" w:unhideWhenUsed="1"/>
    <w:lsdException w:name="Colorful Shading Accent 3" w:uiPriority="71"/>
    <w:lsdException w:name="Grid Table 4 Accent 6" w:uiPriority="49"/>
    <w:lsdException w:name="Light List Accent 3" w:uiPriority="61"/>
    <w:lsdException w:name="Dark List Accent 1" w:uiPriority="70"/>
    <w:lsdException w:name="List 5" w:semiHidden="1" w:unhideWhenUsed="1"/>
    <w:lsdException w:name="Subtitle" w:uiPriority="11" w:qFormat="1"/>
    <w:lsdException w:name="Light Grid Accent 6" w:uiPriority="62"/>
    <w:lsdException w:name="Light Shading" w:uiPriority="60"/>
    <w:lsdException w:name="HTML Top of Form" w:semiHidden="1" w:unhideWhenUsed="1"/>
    <w:lsdException w:name="List Table 5 Dark" w:uiPriority="50"/>
    <w:lsdException w:name="Grid Table 7 Colorful Accent 4" w:uiPriority="52"/>
    <w:lsdException w:name="index 6" w:semiHidden="1" w:unhideWhenUsed="1"/>
    <w:lsdException w:name="Table Web 3" w:semiHidden="1" w:unhideWhenUsed="1"/>
    <w:lsdException w:name="List Table 6 Colorful Accent 4" w:uiPriority="51"/>
    <w:lsdException w:name="toc 1" w:uiPriority="39" w:semiHidden="1" w:unhideWhenUsed="1"/>
    <w:lsdException w:name="Table Contemporary" w:semiHidden="1" w:unhideWhenUsed="1"/>
    <w:lsdException w:name="Table Elegant" w:semiHidden="1" w:unhideWhenUsed="1"/>
    <w:lsdException w:name="Emphasis" w:uiPriority="20" w:qFormat="1"/>
    <w:lsdException w:name="Table Web 2" w:semiHidden="1" w:unhideWhenUsed="1"/>
    <w:lsdException w:name="List Table 4" w:uiPriority="49"/>
    <w:lsdException w:name="footnote reference" w:semiHidden="1" w:unhideWhenUsed="1"/>
    <w:lsdException w:name="index 9" w:semiHidden="1" w:unhideWhenUsed="1"/>
    <w:lsdException w:name="List Table 5 Dark Accent 2" w:uiPriority="50"/>
    <w:lsdException w:name="List Table 6 Colorful Accent 3" w:uiPriority="51"/>
    <w:lsdException w:name="List Table 3" w:uiPriority="48"/>
    <w:lsdException w:name="Light Shading Accent 2" w:uiPriority="60"/>
    <w:lsdException w:name="List Table 6 Colorful Accent 2" w:uiPriority="51"/>
    <w:lsdException w:name="table of authorities" w:semiHidden="1" w:unhideWhenUsed="1"/>
    <w:lsdException w:name="List Table 7 Colorful Accent 5" w:uiPriority="52"/>
    <w:lsdException w:name="Hashtag" w:semiHidden="1" w:unhideWhenUsed="1"/>
    <w:lsdException w:name="List Table 1 Light Accent 6" w:uiPriority="46"/>
    <w:lsdException w:name="Medium Grid 3 Accent 5" w:uiPriority="69"/>
    <w:lsdException w:name="Plain Table 2" w:uiPriority="42"/>
    <w:lsdException w:name="Medium Grid 3 Accent 4" w:uiPriority="69"/>
    <w:lsdException w:name="heading 9" w:uiPriority="9" w:semiHidden="1" w:unhideWhenUsed="1" w:qFormat="1"/>
    <w:lsdException w:name="Grid Table 7 Colorful Accent 1" w:uiPriority="52"/>
    <w:lsdException w:name="Grid Table Light" w:uiPriority="40"/>
    <w:lsdException w:name="Medium Shading 1" w:uiPriority="63"/>
    <w:lsdException w:name="Medium Grid 3 Accent 3" w:uiPriority="69"/>
    <w:lsdException w:name="Dark List Accent 4" w:uiPriority="70"/>
    <w:lsdException w:name="Grid Table 5 Dark Accent 3" w:uiPriority="50"/>
    <w:lsdException w:name="heading 4" w:uiPriority="9" w:semiHidden="1" w:unhideWhenUsed="1" w:qFormat="1"/>
    <w:lsdException w:name="Medium Grid 1 Accent 6" w:uiPriority="67"/>
    <w:lsdException w:name="Medium Grid 2 Accent 5" w:uiPriority="68"/>
    <w:lsdException w:name="Grid Table 7 Colorful Accent 6" w:uiPriority="52"/>
    <w:lsdException w:name="envelope return" w:semiHidden="1" w:unhideWhenUsed="1"/>
    <w:lsdException w:name="toc 4" w:uiPriority="39" w:semiHidden="1" w:unhideWhenUsed="1"/>
    <w:lsdException w:name="Grid Table 1 Light" w:uiPriority="46"/>
    <w:lsdException w:name="Light Shading Accent 6" w:uiPriority="60"/>
    <w:lsdException w:name="Medium List 2 Accent 1" w:uiPriority="66"/>
    <w:lsdException w:name="Light Shading Accent 5" w:uiPriority="60"/>
    <w:lsdException w:name="heading 3" w:uiPriority="9" w:semiHidden="1" w:unhideWhenUsed="1" w:qFormat="1"/>
    <w:lsdException w:name="Table 3D effects 2" w:semiHidden="1" w:unhideWhenUsed="1"/>
    <w:lsdException w:name="Colorful List Accent 4" w:uiPriority="72"/>
    <w:lsdException w:name="List 4" w:semiHidden="1" w:unhideWhenUsed="1"/>
    <w:lsdException w:name="Colorful Grid Accent 3" w:uiPriority="73"/>
    <w:lsdException w:name="HTML Typewriter" w:semiHidden="1" w:unhideWhenUsed="1"/>
    <w:lsdException w:name="Closing" w:semiHidden="1" w:unhideWhenUsed="1"/>
    <w:lsdException w:name="Medium List 2 Accent 6" w:uiPriority="66"/>
    <w:lsdException w:name="List Table 6 Colorful Accent 6" w:uiPriority="51"/>
    <w:lsdException w:name="HTML Cite" w:semiHidden="1" w:unhideWhenUsed="1"/>
    <w:lsdException w:name="Medium Shading 2 Accent 2" w:uiPriority="64"/>
    <w:lsdException w:name="List Table 2 Accent 6" w:uiPriority="47"/>
    <w:lsdException w:name="Medium List 1 Accent 1" w:uiPriority="65"/>
    <w:lsdException w:name="Quote" w:semiHidden="1" w:unhideWhenUsed="1"/>
    <w:lsdException w:name="Medium Shading 2 Accent 3" w:uiPriority="64"/>
    <w:lsdException w:name="List Table 7 Colorful Accent 2" w:uiPriority="52"/>
    <w:lsdException w:name="Medium Shading 1 Accent 5" w:uiPriority="63"/>
    <w:lsdException w:name="HTML Variable" w:semiHidden="1" w:unhideWhenUsed="1"/>
    <w:lsdException w:name="Colorful Shading" w:uiPriority="71"/>
    <w:lsdException w:name="Outline List 1" w:semiHidden="1" w:unhideWhenUsed="1"/>
    <w:lsdException w:name="Subtle Emphasis" w:uiPriority="19" w:qFormat="1"/>
    <w:lsdException w:name="Smart Link" w:semiHidden="1" w:unhideWhenUsed="1"/>
    <w:lsdException w:name="Colorful Shading Accent 2" w:uiPriority="71"/>
    <w:lsdException w:name="Colorful Shading Accent 1" w:uiPriority="71"/>
    <w:lsdException w:name="Table Simple 1" w:semiHidden="1" w:unhideWhenUsed="1"/>
    <w:lsdException w:name="List Continue 4" w:semiHidden="1" w:unhideWhenUsed="1"/>
    <w:lsdException w:name="Plain Text" w:semiHidden="1" w:unhideWhenUsed="1"/>
    <w:lsdException w:name="Table Web 1" w:semiHidden="1" w:unhideWhenUsed="1"/>
    <w:lsdException w:name="Colorful Shading Accent 5" w:uiPriority="71"/>
    <w:lsdException w:name="Colorful Shading Accent 4" w:uiPriority="71"/>
    <w:lsdException w:name="Medium List 2 Accent 2" w:uiPriority="66"/>
    <w:lsdException w:name="Medium Grid 1 Accent 5" w:uiPriority="67"/>
    <w:lsdException w:name="List" w:semiHidden="1" w:unhideWhenUsed="1"/>
    <w:lsdException w:name="Normal Indent" w:semiHidden="1" w:unhideWhenUsed="1"/>
    <w:lsdException w:name="Body Text First Indent" w:semiHidden="1" w:unhideWhenUsed="1"/>
    <w:lsdException w:name="Date" w:semiHidden="1" w:unhideWhenUsed="1"/>
    <w:lsdException w:name="index 8" w:semiHidden="1" w:unhideWhenUsed="1"/>
    <w:lsdException w:name="annotation text" w:unhideWhenUsed="1" w:qFormat="1"/>
    <w:lsdException w:name="HTML Address" w:semiHidden="1" w:unhideWhenUsed="1"/>
    <w:lsdException w:name="toa heading" w:semiHidden="1" w:unhideWhenUsed="1"/>
    <w:lsdException w:name="Grid Table 3 Accent 3" w:uiPriority="48"/>
    <w:lsdException w:name="Intense Quote" w:semiHidden="1" w:unhideWhenUsed="1"/>
    <w:lsdException w:name="List Table 3 Accent 4" w:uiPriority="48"/>
    <w:lsdException w:name="List Table 3 Accent 5" w:uiPriority="48"/>
    <w:lsdException w:name="Strong" w:uiPriority="22" w:qFormat="1"/>
    <w:lsdException w:name="Grid Table 5 Dark" w:uiPriority="50"/>
    <w:lsdException w:name="macro" w:semiHidden="1" w:unhideWhenUsed="1"/>
    <w:lsdException w:name="Body Text Indent 2" w:semiHidden="1" w:unhideWhenUsed="1"/>
    <w:lsdException w:name="Normal Table" w:semiHidden="1" w:unhideWhenUsed="1" w:qFormat="1"/>
    <w:lsdException w:name="Smart Hyperlink" w:semiHidden="1" w:unhideWhenUsed="1"/>
    <w:lsdException w:name="Light Grid Accent 1" w:uiPriority="62"/>
    <w:lsdException w:name="TOC Heading" w:uiPriority="39" w:semiHidden="1" w:unhideWhenUsed="1" w:qFormat="1"/>
    <w:lsdException w:name="List Table 4 Accent 1" w:uiPriority="49"/>
    <w:lsdException w:name="Balloon Text" w:semiHidden="1" w:unhideWhenUsed="1"/>
    <w:lsdException w:name="Dark List" w:uiPriority="70"/>
    <w:lsdException w:name="Dark List Accent 6" w:uiPriority="70"/>
    <w:lsdException w:name="Medium Shading 1 Accent 3" w:uiPriority="63"/>
    <w:lsdException w:name="Table Simple 3" w:semiHidden="1" w:unhideWhenUsed="1"/>
    <w:lsdException w:name="List Continue 5" w:semiHidden="1" w:unhideWhenUsed="1"/>
    <w:lsdException w:name="heading 2" w:uiPriority="9" w:unhideWhenUsed="1" w:qFormat="1"/>
    <w:lsdException w:name="index 7" w:semiHidden="1" w:unhideWhenUsed="1"/>
    <w:lsdException w:name="Medium Grid 3 Accent 2" w:uiPriority="69"/>
    <w:lsdException w:name="List Number 5" w:semiHidden="1" w:unhideWhenUsed="1"/>
    <w:lsdException w:name="footer" w:unhideWhenUsed="1" w:qFormat="1"/>
    <w:lsdException w:name="Grid Table 3 Accent 4" w:uiPriority="48"/>
    <w:lsdException w:name="toc 3" w:uiPriority="39" w:semiHidden="1" w:unhideWhenUsed="1"/>
    <w:lsdException w:name="Light Shading Accent 4" w:uiPriority="60"/>
    <w:lsdException w:name="List Bullet 3" w:semiHidden="1" w:unhideWhenUsed="1"/>
    <w:lsdException w:name="List Table 5 Dark Accent 4" w:uiPriority="50"/>
    <w:lsdException w:name="Table Professional" w:semiHidden="1" w:unhideWhenUsed="1"/>
    <w:lsdException w:name="Medium Shading 1 Accent 2" w:uiPriority="63"/>
    <w:lsdException w:name="Body Text 3" w:semiHidden="1" w:unhideWhenUsed="1"/>
    <w:lsdException w:name="Colorful Grid Accent 2" w:uiPriority="73"/>
    <w:lsdException w:name="List Table 6 Colorful Accent 1" w:uiPriority="51"/>
    <w:lsdException w:name="Grid Table 6 Colorful Accent 5" w:uiPriority="51"/>
    <w:lsdException w:name="Grid Table 6 Colorful Accent 4" w:uiPriority="51"/>
    <w:lsdException w:name="Salutation" w:semiHidden="1" w:unhideWhenUsed="1"/>
    <w:lsdException w:name="Colorful List" w:uiPriority="72"/>
    <w:lsdException w:name="Medium Shading 2 Accent 4" w:uiPriority="64"/>
    <w:lsdException w:name="List Table 2 Accent 1" w:uiPriority="47"/>
    <w:lsdException w:name="List Bullet" w:semiHidden="1" w:unhideWhenUsed="1"/>
    <w:lsdException w:name="Table Subtle 1" w:semiHidden="1" w:unhideWhenUsed="1"/>
    <w:lsdException w:name="Table Grid 8" w:semiHidden="1" w:unhideWhenUsed="1"/>
    <w:lsdException w:name="List Table 7 Colorful Accent 3" w:uiPriority="52"/>
    <w:lsdException w:name="Grid Table 6 Colorful Accent 3" w:uiPriority="51"/>
    <w:lsdException w:name="List Table 7 Colorful Accent 4" w:uiPriority="52"/>
    <w:lsdException w:name="annotation reference" w:semiHidden="1" w:unhideWhenUsed="1" w:qFormat="1"/>
    <w:lsdException w:name="Medium Shading 1 Accent 4" w:uiPriority="63"/>
    <w:lsdException w:name="Table Columns 4" w:semiHidden="1" w:unhideWhenUsed="1"/>
    <w:lsdException w:name="Table Grid 3" w:semiHidden="1" w:unhideWhenUsed="1"/>
    <w:lsdException w:name="Table Grid 2" w:semiHidden="1" w:unhideWhenUsed="1"/>
    <w:lsdException w:name="Grid Table 5 Dark Accent 1" w:uiPriority="50"/>
    <w:lsdException w:name="envelope address" w:semiHidden="1" w:unhideWhenUsed="1"/>
    <w:lsdException w:name="Table Classic 4" w:semiHidden="1" w:unhideWhenUsed="1"/>
    <w:lsdException w:name="Body Text First Indent 2" w:semiHidden="1" w:unhideWhenUsed="1"/>
    <w:lsdException w:name="Grid Table 1 Light Accent 3" w:uiPriority="46"/>
    <w:lsdException w:name="table of figures" w:semiHidden="1" w:unhideWhenUsed="1"/>
    <w:lsdException w:name="Outline List 3" w:semiHidden="1" w:unhideWhenUsed="1"/>
    <w:lsdException w:name="Medium Grid 2 Accent 6" w:uiPriority="68"/>
    <w:lsdException w:name="Medium Shading 1 Accent 6" w:uiPriority="63"/>
    <w:lsdException w:name="Grid Table 6 Colorful" w:uiPriority="51"/>
    <w:lsdException w:name="Medium Grid 2 Accent 2" w:uiPriority="68"/>
    <w:lsdException w:name="Light List" w:uiPriority="61"/>
    <w:lsdException w:name="Grid Table 1 Light Accent 4" w:uiPriority="46"/>
    <w:lsdException w:name="Bibliography" w:uiPriority="37" w:semiHidden="1" w:unhideWhenUsed="1"/>
    <w:lsdException w:name="Colorful Grid Accent 6" w:uiPriority="73"/>
    <w:lsdException w:name="Medium List 2 Accent 3" w:uiPriority="66"/>
    <w:lsdException w:name="Light List Accent 5" w:uiPriority="61"/>
    <w:lsdException w:name="Medium Grid 2 Accent 3" w:uiPriority="68"/>
    <w:lsdException w:name="Light List Accent 6" w:uiPriority="61"/>
    <w:lsdException w:name="Colorful Grid Accent 5" w:uiPriority="73"/>
    <w:lsdException w:name="Medium List 1 Accent 3" w:uiPriority="65"/>
    <w:lsdException w:name="Plain Table 4" w:uiPriority="44"/>
    <w:lsdException w:name="Normal" w:uiPriority="0" w:qFormat="1"/>
    <w:lsdException w:name="List Table 2 Accent 5" w:uiPriority="47"/>
    <w:lsdException w:name="Medium Shading 2 Accent 1" w:uiPriority="64"/>
    <w:lsdException w:name="Medium List 2 Accent 5" w:uiPriority="66"/>
    <w:lsdException w:name="Colorful List Accent 1" w:uiPriority="72"/>
    <w:lsdException w:name="List Table 1 Light Accent 5" w:uiPriority="46"/>
    <w:lsdException w:name="List Table 3 Accent 2" w:uiPriority="48"/>
    <w:lsdException w:name="Table List 5" w:semiHidden="1" w:unhideWhenUsed="1"/>
    <w:lsdException w:name="Medium Grid 2" w:uiPriority="68"/>
    <w:lsdException w:name="List Table 2 Accent 4" w:uiPriority="47"/>
    <w:lsdException w:name="Medium List 1 Accent 6" w:uiPriority="65"/>
    <w:lsdException w:name="Medium Grid 1" w:uiPriority="67"/>
    <w:lsdException w:name="HTML Bottom of Form" w:semiHidden="1" w:unhideWhenUsed="1"/>
    <w:lsdException w:name="List Number" w:semiHidden="1" w:unhideWhenUsed="1"/>
    <w:lsdException w:name="Medium Shading 2 Accent 6" w:uiPriority="64"/>
    <w:lsdException w:name="Colorful Grid" w:uiPriority="73"/>
    <w:lsdException w:name="Grid Table 4 Accent 3" w:uiPriority="49"/>
    <w:lsdException w:name="Medium List 2" w:uiPriority="66"/>
    <w:lsdException w:name="Table List 8" w:semiHidden="1" w:unhideWhenUsed="1"/>
    <w:lsdException w:name="List Table 2 Accent 3" w:uiPriority="47"/>
    <w:lsdException w:name="Message Header" w:semiHidden="1" w:unhideWhenUsed="1"/>
    <w:lsdException w:name="heading 5" w:uiPriority="9" w:semiHidden="1" w:unhideWhenUsed="1" w:qFormat="1"/>
    <w:lsdException w:name="Grid Table 2 Accent 6" w:uiPriority="47"/>
    <w:lsdException w:name="Grid Table 2 Accent 1" w:uiPriority="47"/>
    <w:lsdException w:name="Body Text Indent" w:semiHidden="1" w:unhideWhenUsed="1"/>
    <w:lsdException w:name="HTML Sample" w:semiHidden="1" w:unhideWhenUsed="1"/>
    <w:lsdException w:name="Table List 3" w:semiHidden="1" w:unhideWhenUsed="1"/>
    <w:lsdException w:name="toc 5" w:uiPriority="39" w:semiHidden="1" w:unhideWhenUsed="1"/>
    <w:lsdException w:name="Table Simple 2" w:semiHidden="1" w:unhideWhenUsed="1"/>
    <w:lsdException w:name="Default Paragraph Font" w:uiPriority="1" w:semiHidden="1" w:unhideWhenUsed="1" w:qFormat="1"/>
    <w:lsdException w:name="Light List Accent 2" w:uiPriority="61"/>
    <w:lsdException w:name="Grid Table 7 Colorful Accent 5" w:uiPriority="52"/>
    <w:lsdException w:name="index 2" w:semiHidden="1" w:unhideWhenUsed="1"/>
    <w:lsdException w:name="List Number 2" w:semiHidden="1" w:unhideWhenUsed="1"/>
    <w:lsdException w:name="Table List 2" w:semiHidden="1" w:unhideWhenUsed="1"/>
    <w:lsdException w:name="Document Map" w:semiHidden="1" w:unhideWhenUsed="1"/>
    <w:lsdException w:name="List Continue 2" w:semiHidden="1" w:unhideWhenUsed="1"/>
    <w:lsdException w:name="Grid Table 3 Accent 5" w:uiPriority="48"/>
    <w:lsdException w:name="Colorful Shading Accent 6" w:uiPriority="71"/>
    <w:lsdException w:name="List Table 5 Dark Accent 5" w:uiPriority="50"/>
    <w:lsdException w:name="List Table 5 Dark Accent 6" w:uiPriority="50"/>
    <w:lsdException w:name="Medium Grid 1 Accent 3" w:uiPriority="67"/>
    <w:lsdException w:name="Grid Table 7 Colorful" w:uiPriority="52"/>
    <w:lsdException w:name="Medium Grid 1 Accent 2" w:uiPriority="67"/>
    <w:lsdException w:name="footnote text" w:semiHidden="1" w:unhideWhenUsed="1"/>
    <w:lsdException w:name="List Table 3 Accent 6" w:uiPriority="48"/>
    <w:lsdException w:name="List Table 1 Light Accent 1" w:uiPriority="46"/>
    <w:lsdException w:name="List Continue 3" w:semiHidden="1" w:unhideWhenUsed="1"/>
    <w:lsdException w:name="No List" w:semiHidden="1" w:unhideWhenUsed="1"/>
    <w:lsdException w:name="List Paragraph" w:uiPriority="34" w:qFormat="1"/>
    <w:lsdException w:name="List Number 3" w:semiHidden="1" w:unhideWhenUsed="1"/>
    <w:lsdException w:name="Dark List Accent 3" w:uiPriority="70"/>
    <w:lsdException w:name="Grid Table 3 Accent 2" w:uiPriority="48"/>
    <w:lsdException w:name="Signature" w:semiHidden="1" w:unhideWhenUsed="1"/>
    <w:lsdException w:name="List Table 5 Dark Accent 3" w:uiPriority="50"/>
    <w:lsdException w:name="Table Columns 5" w:semiHidden="1" w:unhideWhenUsed="1"/>
    <w:lsdException w:name="Grid Table 6 Colorful Accent 2" w:uiPriority="51"/>
    <w:lsdException w:name="Table Subtle 2" w:semiHidden="1" w:unhideWhenUsed="1"/>
    <w:lsdException w:name="Grid Table 5 Dark Accent 6" w:uiPriority="50"/>
    <w:lsdException w:name="Light Grid Accent 3" w:uiPriority="62"/>
    <w:lsdException w:name="Grid Table 2 Accent 5" w:uiPriority="47"/>
    <w:lsdException w:name="Table Grid 1" w:semiHidden="1" w:unhideWhenUsed="1"/>
    <w:lsdException w:name="Medium List 1 Accent 5" w:uiPriority="65"/>
    <w:lsdException w:name="Table Columns 2" w:semiHidden="1" w:unhideWhenUsed="1"/>
    <w:lsdException w:name="Placeholder Text" w:semiHidden="1" w:unhideWhenUsed="1"/>
    <w:lsdException w:name="Light Grid Accent 2" w:uiPriority="62"/>
    <w:lsdException w:name="toc 9" w:uiPriority="39" w:semiHidden="1" w:unhideWhenUsed="1"/>
    <w:lsdException w:name="Table Columns 3" w:semiHidden="1" w:unhideWhenUsed="1"/>
    <w:lsdException w:name="Dark List Accent 5" w:uiPriority="70"/>
    <w:lsdException w:name="Medium List 1 Accent 4" w:uiPriority="65"/>
    <w:lsdException w:name="heading 8" w:uiPriority="9" w:semiHidden="1" w:unhideWhenUsed="1" w:qFormat="1"/>
    <w:lsdException w:name="List Table 4 Accent 3" w:uiPriority="49"/>
    <w:lsdException w:name="Table Colorful 3" w:semiHidden="1" w:unhideWhenUsed="1"/>
    <w:lsdException w:name="List Table 4 Accent 2" w:uiPriority="49"/>
    <w:lsdException w:name="Table Grid 4" w:semiHidden="1" w:unhideWhenUsed="1"/>
    <w:lsdException w:name="Medium Grid 2 Accent 4" w:uiPriority="68"/>
    <w:lsdException w:name="Subtle Reference" w:uiPriority="31" w:qFormat="1"/>
    <w:lsdException w:name="Medium Shading 1 Accent 1" w:uiPriority="63"/>
    <w:lsdException w:name="Light Grid Accent 5" w:uiPriority="62"/>
    <w:lsdException w:name="endnote text" w:semiHidden="1" w:unhideWhenUsed="1"/>
    <w:lsdException w:name="Table Colorful 2" w:semiHidden="1" w:unhideWhenUsed="1"/>
    <w:lsdException w:name="Hyperlink" w:semiHidden="1" w:unhideWhenUsed="1"/>
    <w:lsdException w:name="Book Title" w:uiPriority="33" w:qFormat="1"/>
    <w:lsdException w:name="Grid Table 1 Light Accent 5" w:uiPriority="46"/>
    <w:lsdException w:name="Colorful Grid Accent 4" w:uiPriority="73"/>
    <w:lsdException w:name="List Bullet 4" w:semiHidden="1" w:unhideWhenUsed="1"/>
    <w:lsdException w:name="Grid Table 3 Accent 6" w:uiPriority="48"/>
    <w:lsdException w:name="Light List Accent 4" w:uiPriority="61"/>
    <w:lsdException w:name="List Table 4 Accent 6" w:uiPriority="49"/>
    <w:lsdException w:name="List Table 4 Accent 5" w:uiPriority="49"/>
    <w:lsdException w:name="Mention" w:semiHidden="1" w:unhideWhenUsed="1"/>
    <w:lsdException w:name="HTML Preformatted" w:semiHidden="1" w:unhideWhenUsed="1"/>
    <w:lsdException w:name="Light Shading Accent 1" w:uiPriority="60"/>
    <w:lsdException w:name="Colorful List Accent 3" w:uiPriority="72"/>
    <w:lsdException w:name="Table 3D effects 3" w:semiHidden="1" w:unhideWhenUsed="1"/>
  </w:latentStyles>
  <w:style w:type="character" w:styleId="000011" w:customStyle="1">
    <w:name w:val="页眉 字符"/>
    <w:basedOn w:val="000008"/>
    <w:link w:val="000010"/>
    <w:autoRedefine w:val="1"/>
    <w:uiPriority w:val="99"/>
    <w:qFormat w:val="1"/>
    <w:rPr>
      <w:sz w:val="18"/>
      <w:szCs w:val="18"/>
    </w:rPr>
  </w:style>
  <w:style w:type="table" w:styleId="000014" w:customStyle="1">
    <w:name w:val="网格型1"/>
    <w:basedOn w:val="000002"/>
    <w:qFormat w:val="1"/>
    <w:rsid w:val="004741FB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0a" w:customStyle="1">
    <w:name w:val="标题 5 字符"/>
    <w:basedOn w:val="000008"/>
    <w:link w:val="00000b"/>
    <w:uiPriority w:val="9"/>
    <w:rsid w:val="00D7291B"/>
    <w:rPr>
      <w:rFonts w:ascii="宋体" w:hAnsi="宋体" w:eastAsia="宋体" w:cs="宋体"/>
      <w:b w:val="1"/>
      <w:bCs w:val="1"/>
      <w:kern w:val="2"/>
      <w:sz w:val="28"/>
      <w:szCs w:val="28"/>
    </w:rPr>
  </w:style>
  <w:style w:type="character" w:styleId="000012">
    <w:name w:val="annotation reference"/>
    <w:basedOn w:val="000008"/>
    <w:autoRedefine w:val="1"/>
    <w:uiPriority w:val="99"/>
    <w:semiHidden w:val="1"/>
    <w:unhideWhenUsed w:val="1"/>
    <w:qFormat w:val="1"/>
    <w:rPr>
      <w:sz w:val="21"/>
      <w:szCs w:val="21"/>
    </w:rPr>
  </w:style>
  <w:style w:type="paragraph" w:styleId="00000d">
    <w:name w:val="Body Text"/>
    <w:basedOn w:val="000004"/>
    <w:link w:val="00000c"/>
    <w:autoRedefine w:val="1"/>
    <w:uiPriority w:val="1"/>
    <w:qFormat w:val="1"/>
    <w:rsid w:val="006A1CC6"/>
    <w:pPr>
      <w:spacing w:after="156" w:afterLines="50"/>
      <w:jc w:val="center"/>
    </w:pPr>
    <w:rPr>
      <w:rFonts w:ascii="Times New Roman" w:hAnsi="Times New Roman" w:eastAsia="宋体" w:cstheme="minorBidi"/>
      <w:kern w:val="0"/>
      <w:sz w:val="24"/>
      <w:szCs w:val="28"/>
    </w:rPr>
  </w:style>
  <w:style w:type="paragraph" w:styleId="000009">
    <w:name w:val="heading 2"/>
    <w:basedOn w:val="00000e"/>
    <w:next w:val="000004"/>
    <w:link w:val="000007"/>
    <w:autoRedefine w:val="1"/>
    <w:uiPriority w:val="9"/>
    <w:unhideWhenUsed w:val="1"/>
    <w:qFormat w:val="1"/>
    <w:rsid w:val="00D7291B"/>
    <w:pPr>
      <w:outlineLvl w:val="1"/>
    </w:pPr>
  </w:style>
  <w:style w:type="character" w:styleId="00000c" w:customStyle="1">
    <w:name w:val="正文文本 字符"/>
    <w:basedOn w:val="000008"/>
    <w:link w:val="00000d"/>
    <w:autoRedefine w:val="1"/>
    <w:uiPriority w:val="1"/>
    <w:qFormat w:val="1"/>
    <w:rsid w:val="006A1CC6"/>
    <w:rPr>
      <w:rFonts w:ascii="Times New Roman" w:hAnsi="Times New Roman" w:eastAsia="宋体"/>
      <w:sz w:val="24"/>
      <w:szCs w:val="28"/>
    </w:rPr>
  </w:style>
  <w:style w:type="character" w:styleId="00001d">
    <w:name w:val="Hyperlink"/>
    <w:basedOn w:val="000008"/>
    <w:uiPriority w:val="99"/>
    <w:unhideWhenUsed w:val="1"/>
    <w:rsid w:val="00A23D84"/>
    <w:rPr>
      <w:color w:val="0000FF" w:themeColor="hyperlink"/>
      <w:u w:val="single"/>
    </w:rPr>
  </w:style>
  <w:style w:type="numbering" w:styleId="000006" w:default="1">
    <w:name w:val="No List"/>
    <w:uiPriority w:val="99"/>
    <w:semiHidden w:val="1"/>
    <w:unhideWhenUsed w:val="1"/>
  </w:style>
  <w:style w:type="paragraph" w:styleId="000020">
    <w:name w:val="heading 3"/>
    <w:basedOn w:val="000009"/>
    <w:next w:val="000004"/>
    <w:link w:val="000021"/>
    <w:uiPriority w:val="9"/>
    <w:unhideWhenUsed w:val="1"/>
    <w:qFormat w:val="1"/>
    <w:rsid w:val="00D7291B"/>
    <w:pPr>
      <w:numPr>
        <w:numId w:val="6"/>
      </w:numPr>
      <w:outlineLvl w:val="2"/>
    </w:pPr>
  </w:style>
  <w:style w:type="character" w:styleId="000015" w:customStyle="1">
    <w:name w:val="标题 字符"/>
    <w:basedOn w:val="000008"/>
    <w:link w:val="000016"/>
    <w:uiPriority w:val="10"/>
    <w:rsid w:val="00D7291B"/>
    <w:rPr>
      <w:rFonts w:ascii="Times New Roman" w:hAnsi="Times New Roman" w:eastAsia="黑体" w:cs="Times New Roman"/>
      <w:b w:val="1"/>
      <w:bCs w:val="1"/>
      <w:kern w:val="2"/>
      <w:sz w:val="44"/>
      <w:szCs w:val="24"/>
    </w:rPr>
  </w:style>
  <w:style w:type="character" w:styleId="000005" w:customStyle="1">
    <w:name w:val="标题 4 字符"/>
    <w:basedOn w:val="000008"/>
    <w:link w:val="000003"/>
    <w:uiPriority w:val="9"/>
    <w:rsid w:val="00D7291B"/>
    <w:rPr>
      <w:rFonts w:ascii="Calibri" w:hAnsi="Calibri" w:eastAsia="宋体" w:cs="Times New Roman"/>
      <w:b w:val="1"/>
      <w:kern w:val="2"/>
      <w:sz w:val="32"/>
      <w:szCs w:val="24"/>
    </w:rPr>
  </w:style>
  <w:style w:type="paragraph" w:styleId="000018">
    <w:name w:val="annotation text"/>
    <w:basedOn w:val="000004"/>
    <w:link w:val="00001a"/>
    <w:autoRedefine w:val="1"/>
    <w:uiPriority w:val="99"/>
    <w:unhideWhenUsed w:val="1"/>
    <w:qFormat w:val="1"/>
    <w:pPr>
      <w:jc w:val="left"/>
    </w:pPr>
  </w:style>
  <w:style w:type="table" w:styleId="000001">
    <w:name w:val="Table Grid"/>
    <w:basedOn w:val="000002"/>
    <w:autoRedefine w:val="1"/>
    <w:uiPriority w:val="39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17">
    <w:name w:val="annotation subject"/>
    <w:basedOn w:val="000018"/>
    <w:next w:val="000018"/>
    <w:link w:val="000019"/>
    <w:autoRedefine w:val="1"/>
    <w:uiPriority w:val="99"/>
    <w:semiHidden w:val="1"/>
    <w:unhideWhenUsed w:val="1"/>
    <w:qFormat w:val="1"/>
    <w:rPr>
      <w:b w:val="1"/>
      <w:bCs w:val="1"/>
    </w:rPr>
  </w:style>
  <w:style w:type="paragraph" w:styleId="00000e">
    <w:name w:val="heading 1"/>
    <w:basedOn w:val="00000d"/>
    <w:next w:val="000004"/>
    <w:link w:val="00000f"/>
    <w:autoRedefine w:val="1"/>
    <w:uiPriority w:val="9"/>
    <w:qFormat w:val="1"/>
    <w:rsid w:val="00BA79AF"/>
    <w:pPr>
      <w:jc w:val="left"/>
      <w:outlineLvl w:val="0"/>
    </w:pPr>
    <w:rPr>
      <w:rFonts w:cs="Times New Roman"/>
      <w:b w:val="1"/>
      <w:bCs w:val="1"/>
      <w:sz w:val="32"/>
      <w:szCs w:val="24"/>
    </w:rPr>
  </w:style>
  <w:style w:type="paragraph" w:styleId="000010">
    <w:name w:val="header"/>
    <w:basedOn w:val="000004"/>
    <w:link w:val="000011"/>
    <w:autoRedefine w:val="1"/>
    <w:uiPriority w:val="99"/>
    <w:unhideWhenUsed w:val="1"/>
    <w:qFormat w:val="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e" w:customStyle="1">
    <w:name w:val="修订1"/>
    <w:autoRedefine w:val="1"/>
    <w:hidden w:val="1"/>
    <w:uiPriority w:val="99"/>
    <w:semiHidden w:val="1"/>
    <w:qFormat w:val="1"/>
    <w:rPr>
      <w:rFonts w:ascii="等线" w:hAnsi="等线" w:eastAsia="等线" w:cs="等线"/>
      <w:kern w:val="2"/>
      <w:sz w:val="21"/>
      <w:szCs w:val="24"/>
    </w:rPr>
  </w:style>
  <w:style w:type="paragraph" w:styleId="000024">
    <w:name w:val="List Paragraph"/>
    <w:basedOn w:val="000004"/>
    <w:autoRedefine w:val="1"/>
    <w:uiPriority w:val="34"/>
    <w:qFormat w:val="1"/>
    <w:pPr>
      <w:ind w:firstLine="420" w:firstLineChars="200"/>
    </w:pPr>
  </w:style>
  <w:style w:type="character" w:styleId="000013">
    <w:name w:val="Unresolved Mention"/>
    <w:basedOn w:val="000008"/>
    <w:uiPriority w:val="99"/>
    <w:semiHidden w:val="1"/>
    <w:unhideWhenUsed w:val="1"/>
    <w:rsid w:val="00A23D84"/>
    <w:rPr>
      <w:color w:val="605E5C"/>
      <w:shd w:val="clear" w:color="auto" w:fill="E1DFDD"/>
    </w:rPr>
  </w:style>
  <w:style w:type="character" w:styleId="000019" w:customStyle="1">
    <w:name w:val="批注主题 字符"/>
    <w:basedOn w:val="00001a"/>
    <w:link w:val="000017"/>
    <w:autoRedefine w:val="1"/>
    <w:uiPriority w:val="99"/>
    <w:semiHidden w:val="1"/>
    <w:qFormat w:val="1"/>
    <w:rPr>
      <w:rFonts w:ascii="等线" w:hAnsi="等线" w:eastAsia="等线" w:cs="等线"/>
      <w:b w:val="1"/>
      <w:bCs w:val="1"/>
      <w:szCs w:val="24"/>
    </w:rPr>
  </w:style>
  <w:style w:type="character" w:styleId="000008" w:default="1">
    <w:name w:val="Default Paragraph Font"/>
    <w:uiPriority w:val="1"/>
    <w:semiHidden w:val="1"/>
    <w:unhideWhenUsed w:val="1"/>
  </w:style>
  <w:style w:type="character" w:styleId="00001b" w:customStyle="1">
    <w:name w:val="日期 字符"/>
    <w:basedOn w:val="000008"/>
    <w:link w:val="00001c"/>
    <w:uiPriority w:val="99"/>
    <w:semiHidden w:val="1"/>
    <w:rsid w:val="00726766"/>
    <w:rPr>
      <w:rFonts w:ascii="等线" w:hAnsi="等线" w:eastAsia="等线" w:cs="等线"/>
      <w:kern w:val="2"/>
      <w:sz w:val="21"/>
      <w:szCs w:val="24"/>
    </w:rPr>
  </w:style>
  <w:style w:type="character" w:styleId="000021" w:customStyle="1">
    <w:name w:val="标题 3 字符"/>
    <w:basedOn w:val="000008"/>
    <w:link w:val="000020"/>
    <w:uiPriority w:val="9"/>
    <w:rsid w:val="00D7291B"/>
    <w:rPr>
      <w:rFonts w:ascii="Times New Roman" w:hAnsi="Times New Roman" w:eastAsia="宋体" w:cs="Times New Roman"/>
      <w:b w:val="1"/>
      <w:bCs w:val="1"/>
      <w:sz w:val="32"/>
      <w:szCs w:val="24"/>
    </w:rPr>
  </w:style>
  <w:style w:type="table" w:styleId="000002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7" w:customStyle="1">
    <w:name w:val="标题 2 字符"/>
    <w:basedOn w:val="000008"/>
    <w:link w:val="000009"/>
    <w:autoRedefine w:val="1"/>
    <w:uiPriority w:val="9"/>
    <w:qFormat w:val="1"/>
    <w:rsid w:val="00D7291B"/>
    <w:rPr>
      <w:rFonts w:ascii="Times New Roman" w:hAnsi="Times New Roman" w:eastAsia="宋体" w:cs="Times New Roman"/>
      <w:b w:val="1"/>
      <w:bCs w:val="1"/>
      <w:sz w:val="32"/>
      <w:szCs w:val="24"/>
    </w:rPr>
  </w:style>
  <w:style w:type="paragraph" w:styleId="000023">
    <w:name w:val="footer"/>
    <w:basedOn w:val="000004"/>
    <w:link w:val="000022"/>
    <w:autoRedefine w:val="1"/>
    <w:uiPriority w:val="99"/>
    <w:unhideWhenUsed w:val="1"/>
    <w:qFormat w:val="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00001a" w:customStyle="1">
    <w:name w:val="批注文字 字符"/>
    <w:basedOn w:val="000008"/>
    <w:link w:val="000018"/>
    <w:autoRedefine w:val="1"/>
    <w:uiPriority w:val="99"/>
    <w:qFormat w:val="1"/>
    <w:rPr>
      <w:rFonts w:ascii="等线" w:hAnsi="等线" w:eastAsia="等线" w:cs="等线"/>
      <w:szCs w:val="24"/>
    </w:rPr>
  </w:style>
  <w:style w:type="paragraph" w:styleId="000003">
    <w:name w:val="heading 4"/>
    <w:basedOn w:val="000004"/>
    <w:next w:val="000004"/>
    <w:link w:val="000005"/>
    <w:uiPriority w:val="9"/>
    <w:unhideWhenUsed w:val="1"/>
    <w:qFormat w:val="1"/>
    <w:rsid w:val="00D7291B"/>
    <w:pPr>
      <w:keepNext w:val="1"/>
      <w:keepLines w:val="1"/>
      <w:spacing w:before="260" w:after="260" w:line="413" w:lineRule="auto"/>
      <w:outlineLvl w:val="3"/>
    </w:pPr>
    <w:rPr>
      <w:rFonts w:ascii="Calibri" w:hAnsi="Calibri" w:eastAsia="宋体" w:cs="Times New Roman"/>
      <w:b w:val="1"/>
      <w:sz w:val="32"/>
    </w:rPr>
  </w:style>
  <w:style w:type="paragraph" w:styleId="00001c">
    <w:name w:val="Date"/>
    <w:basedOn w:val="000004"/>
    <w:next w:val="000004"/>
    <w:link w:val="00001b"/>
    <w:uiPriority w:val="99"/>
    <w:semiHidden w:val="1"/>
    <w:unhideWhenUsed w:val="1"/>
    <w:rsid w:val="00726766"/>
    <w:pPr>
      <w:ind w:left="100" w:leftChars="2500"/>
    </w:pPr>
  </w:style>
  <w:style w:type="paragraph" w:styleId="000016">
    <w:name w:val="Title"/>
    <w:basedOn w:val="000004"/>
    <w:next w:val="000004"/>
    <w:link w:val="000015"/>
    <w:uiPriority w:val="10"/>
    <w:qFormat w:val="1"/>
    <w:rsid w:val="00D7291B"/>
    <w:pPr>
      <w:snapToGrid w:val="0"/>
      <w:spacing w:line="300" w:lineRule="auto"/>
      <w:jc w:val="center"/>
    </w:pPr>
    <w:rPr>
      <w:rFonts w:ascii="Times New Roman" w:hAnsi="Times New Roman" w:eastAsia="黑体" w:cs="Times New Roman"/>
      <w:b w:val="1"/>
      <w:bCs w:val="1"/>
      <w:sz w:val="44"/>
    </w:rPr>
  </w:style>
  <w:style w:type="character" w:styleId="00000f" w:customStyle="1">
    <w:name w:val="标题 1 字符"/>
    <w:basedOn w:val="000008"/>
    <w:link w:val="00000e"/>
    <w:autoRedefine w:val="1"/>
    <w:uiPriority w:val="9"/>
    <w:qFormat w:val="1"/>
    <w:rsid w:val="00BA79AF"/>
    <w:rPr>
      <w:rFonts w:ascii="Times New Roman" w:hAnsi="Times New Roman" w:eastAsia="宋体" w:cs="Times New Roman"/>
      <w:b w:val="1"/>
      <w:bCs w:val="1"/>
      <w:sz w:val="32"/>
      <w:szCs w:val="24"/>
    </w:rPr>
  </w:style>
  <w:style w:type="character" w:styleId="000022" w:customStyle="1">
    <w:name w:val="页脚 字符"/>
    <w:basedOn w:val="000008"/>
    <w:link w:val="000023"/>
    <w:autoRedefine w:val="1"/>
    <w:uiPriority w:val="99"/>
    <w:qFormat w:val="1"/>
    <w:rPr>
      <w:sz w:val="18"/>
      <w:szCs w:val="18"/>
    </w:rPr>
  </w:style>
  <w:style w:type="paragraph" w:styleId="000004" w:default="1">
    <w:name w:val="Normal"/>
    <w:qFormat w:val="1"/>
    <w:pPr>
      <w:widowControl w:val="0"/>
      <w:jc w:val="both"/>
    </w:pPr>
    <w:rPr>
      <w:rFonts w:ascii="等线" w:hAnsi="等线" w:eastAsia="等线" w:cs="等线"/>
      <w:kern w:val="2"/>
      <w:sz w:val="21"/>
      <w:szCs w:val="24"/>
    </w:rPr>
  </w:style>
  <w:style w:type="paragraph" w:styleId="00000b">
    <w:name w:val="heading 5"/>
    <w:basedOn w:val="000004"/>
    <w:next w:val="000004"/>
    <w:link w:val="00000a"/>
    <w:uiPriority w:val="9"/>
    <w:unhideWhenUsed w:val="1"/>
    <w:qFormat w:val="1"/>
    <w:rsid w:val="00D7291B"/>
    <w:pPr>
      <w:keepNext w:val="1"/>
      <w:keepLines w:val="1"/>
      <w:spacing w:before="260" w:after="260" w:line="376" w:lineRule="auto"/>
      <w:outlineLvl w:val="4"/>
    </w:pPr>
    <w:rPr>
      <w:rFonts w:ascii="宋体" w:hAnsi="宋体" w:eastAsia="宋体" w:cs="宋体"/>
      <w:b w:val="1"/>
      <w:bCs w:val="1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otnotes" Target="footnotes.xml" /><Relationship Id="rId5" Type="http://schemas.openxmlformats.org/officeDocument/2006/relationships/theme" Target="theme/theme1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7" Type="http://schemas.openxmlformats.org/officeDocument/2006/relationships/image" Target="media/image1.jpeg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2026-09-07T20:02:53Z</dcterms:created>
  <dcterms:modified xsi:type="dcterms:W3CDTF">2026-09-07T20:02:53Z</dcterms:modified>
</cp:coreProperties>
</file>