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技术交底书</w:t>
      </w:r>
    </w:p>
    <w:p>
      <w:pPr>
        <w:spacing w:line="300" w:lineRule="auto"/>
        <w:ind w:firstLine="420"/>
      </w:pPr>
      <w:r>
        <w:rPr>
          <w:rFonts w:ascii="宋体" w:hAnsi="宋体" w:eastAsia="宋体"/>
          <w:b/>
        </w:rPr>
        <w:t>建议技术名称：一种企业即时通信消息流的会话切分、事件聚合及任务派发方法</w:t>
      </w:r>
    </w:p>
    <w:p>
      <w:pPr>
        <w:spacing w:line="300" w:lineRule="auto"/>
        <w:ind w:firstLine="420"/>
      </w:pPr>
      <w:r>
        <w:rPr>
          <w:rFonts w:ascii="宋体" w:hAnsi="宋体" w:eastAsia="宋体"/>
          <w:b/>
        </w:rPr>
        <w:t>专利类型：发明。技术联系人、电话、邮箱：待补充。</w:t>
      </w:r>
    </w:p>
    <w:p>
      <w:pPr>
        <w:pStyle w:val="Heading1"/>
      </w:pPr>
      <w:r>
        <w:rPr>
          <w:rFonts w:ascii="黑体" w:hAnsi="黑体" w:eastAsia="黑体"/>
          <w:color w:val="000000"/>
        </w:rPr>
        <w:t>一、相似技术交底书写法参考与本稿优化原则</w:t>
      </w:r>
    </w:p>
    <w:p>
      <w:pPr>
        <w:spacing w:line="300" w:lineRule="auto"/>
        <w:ind w:firstLine="420"/>
      </w:pPr>
      <w:r>
        <w:rPr>
          <w:rFonts w:ascii="宋体" w:hAnsi="宋体" w:eastAsia="宋体"/>
          <w:b w:val="0"/>
        </w:rPr>
        <w:t>相似工单、会话处理和智能客服类专利文本通常采用“技术领域、背景技术、要解决的技术问题、技术方案、有益效果、附图说明、具体实施方式”的结构。在技术方案部分，较成熟的写法不是只描述业务流程，而是把消息流、状态缓存、任务对象、判定条件、阈值、版本发布和异常处理写成可被本领域技术人员复现的数据处理链路。</w:t>
      </w:r>
    </w:p>
    <w:p>
      <w:pPr>
        <w:spacing w:line="300" w:lineRule="auto"/>
        <w:ind w:firstLine="420"/>
      </w:pPr>
      <w:r>
        <w:rPr>
          <w:rFonts w:ascii="宋体" w:hAnsi="宋体" w:eastAsia="宋体"/>
          <w:b w:val="0"/>
        </w:rPr>
        <w:t>本次优化据此将原稿的运营描述改写为企业即时通信消息流处理方案，重点突出异步消息接入、按群和客户维度的状态化聚合、空闲与最长持续双定时器闭合、同客户重复抑制、跨客户事件聚合、候选处理人约束过滤、响应监听以及复核反馈调参。</w:t>
      </w:r>
    </w:p>
    <w:tbl>
      <w:tblPr>
        <w:tblStyle w:val="TableGrid"/>
        <w:tblW w:type="auto" w:w="0"/>
        <w:tblLook w:firstColumn="1" w:firstRow="1" w:lastColumn="0" w:lastRow="0" w:noHBand="0" w:noVBand="1" w:val="04A0"/>
      </w:tblPr>
      <w:tblGrid>
        <w:gridCol w:w="4896"/>
        <w:gridCol w:w="4896"/>
      </w:tblGrid>
      <w:tr>
        <w:tc>
          <w:tcPr>
            <w:tcW w:type="dxa" w:w="4896"/>
          </w:tcPr>
          <w:p>
            <w:r/>
            <w:r>
              <w:rPr>
                <w:rFonts w:ascii="宋体" w:hAnsi="宋体" w:eastAsia="宋体"/>
                <w:b/>
              </w:rPr>
              <w:t>参考写法要点</w:t>
            </w:r>
          </w:p>
        </w:tc>
        <w:tc>
          <w:tcPr>
            <w:tcW w:type="dxa" w:w="4896"/>
          </w:tcPr>
          <w:p>
            <w:r/>
            <w:r>
              <w:rPr>
                <w:rFonts w:ascii="宋体" w:hAnsi="宋体" w:eastAsia="宋体"/>
                <w:b/>
              </w:rPr>
              <w:t>本稿对应优化</w:t>
            </w:r>
          </w:p>
        </w:tc>
      </w:tr>
      <w:tr>
        <w:tc>
          <w:tcPr>
            <w:tcW w:type="dxa" w:w="4896"/>
          </w:tcPr>
          <w:p>
            <w:r/>
            <w:r>
              <w:rPr>
                <w:rFonts w:ascii="宋体" w:hAnsi="宋体" w:eastAsia="宋体"/>
              </w:rPr>
              <w:t>问题必须落在技术对象上</w:t>
            </w:r>
          </w:p>
        </w:tc>
        <w:tc>
          <w:tcPr>
            <w:tcW w:type="dxa" w:w="4896"/>
          </w:tcPr>
          <w:p>
            <w:r/>
            <w:r>
              <w:rPr>
                <w:rFonts w:ascii="宋体" w:hAnsi="宋体" w:eastAsia="宋体"/>
              </w:rPr>
              <w:t>将漏单、重复派单改写为消息流乱序、状态缓存、计时闭合、事件关联和幂等发送问题</w:t>
            </w:r>
          </w:p>
        </w:tc>
      </w:tr>
      <w:tr>
        <w:tc>
          <w:tcPr>
            <w:tcW w:type="dxa" w:w="4896"/>
          </w:tcPr>
          <w:p>
            <w:r/>
            <w:r>
              <w:rPr>
                <w:rFonts w:ascii="宋体" w:hAnsi="宋体" w:eastAsia="宋体"/>
              </w:rPr>
              <w:t>公式符号先定义后使用</w:t>
            </w:r>
          </w:p>
        </w:tc>
        <w:tc>
          <w:tcPr>
            <w:tcW w:type="dxa" w:w="4896"/>
          </w:tcPr>
          <w:p>
            <w:r/>
            <w:r>
              <w:rPr>
                <w:rFonts w:ascii="宋体" w:hAnsi="宋体" w:eastAsia="宋体"/>
              </w:rPr>
              <w:t>集中给出Δt、L、T_gap、T_duration、θ_dup、θ_event、R(x)等定义</w:t>
            </w:r>
          </w:p>
        </w:tc>
      </w:tr>
      <w:tr>
        <w:tc>
          <w:tcPr>
            <w:tcW w:type="dxa" w:w="4896"/>
          </w:tcPr>
          <w:p>
            <w:r/>
            <w:r>
              <w:rPr>
                <w:rFonts w:ascii="宋体" w:hAnsi="宋体" w:eastAsia="宋体"/>
              </w:rPr>
              <w:t>实施例要有时间线和数据对象</w:t>
            </w:r>
          </w:p>
        </w:tc>
        <w:tc>
          <w:tcPr>
            <w:tcW w:type="dxa" w:w="4896"/>
          </w:tcPr>
          <w:p>
            <w:r/>
            <w:r>
              <w:rPr>
                <w:rFonts w:ascii="宋体" w:hAnsi="宋体" w:eastAsia="宋体"/>
              </w:rPr>
              <w:t>新增同客户连续消息、同客户重复、跨客户公共事件和异常场景实施例</w:t>
            </w:r>
          </w:p>
        </w:tc>
      </w:tr>
      <w:tr>
        <w:tc>
          <w:tcPr>
            <w:tcW w:type="dxa" w:w="4896"/>
          </w:tcPr>
          <w:p>
            <w:r/>
            <w:r>
              <w:rPr>
                <w:rFonts w:ascii="宋体" w:hAnsi="宋体" w:eastAsia="宋体"/>
              </w:rPr>
              <w:t>附图服务于技术链路</w:t>
            </w:r>
          </w:p>
        </w:tc>
        <w:tc>
          <w:tcPr>
            <w:tcW w:type="dxa" w:w="4896"/>
          </w:tcPr>
          <w:p>
            <w:r/>
            <w:r>
              <w:rPr>
                <w:rFonts w:ascii="宋体" w:hAnsi="宋体" w:eastAsia="宋体"/>
              </w:rPr>
              <w:t>新增9张Visio风格图，图内不放标题，连线尽量横平竖直且不交叉</w:t>
            </w:r>
          </w:p>
        </w:tc>
      </w:tr>
    </w:tbl>
    <w:p/>
    <w:p>
      <w:pPr>
        <w:pStyle w:val="Heading1"/>
      </w:pPr>
      <w:r>
        <w:rPr>
          <w:rFonts w:ascii="黑体" w:hAnsi="黑体" w:eastAsia="黑体"/>
          <w:color w:val="000000"/>
        </w:rPr>
        <w:t>二、技术领域</w:t>
      </w:r>
    </w:p>
    <w:p>
      <w:pPr>
        <w:spacing w:line="300" w:lineRule="auto"/>
        <w:ind w:firstLine="420"/>
      </w:pPr>
      <w:r>
        <w:rPr>
          <w:rFonts w:ascii="宋体" w:hAnsi="宋体" w:eastAsia="宋体"/>
          <w:b w:val="0"/>
        </w:rPr>
        <w:t>本发明涉及企业即时通信、客户群消息处理、智能工单派发和运营监控技术领域，尤其涉及一种对企业即时通信客户群中的异步多模态消息进行会话切分、事件聚合、任务派发、响应监听和质量反馈的方法、系统、电子设备及计算机可读存储介质。</w:t>
      </w:r>
    </w:p>
    <w:p>
      <w:pPr>
        <w:pStyle w:val="Heading1"/>
      </w:pPr>
      <w:r>
        <w:rPr>
          <w:rFonts w:ascii="黑体" w:hAnsi="黑体" w:eastAsia="黑体"/>
          <w:color w:val="000000"/>
        </w:rPr>
        <w:t>三、背景技术与现有技术缺陷</w:t>
      </w:r>
    </w:p>
    <w:p>
      <w:pPr>
        <w:spacing w:line="300" w:lineRule="auto"/>
        <w:ind w:firstLine="420"/>
      </w:pPr>
      <w:r>
        <w:rPr>
          <w:rFonts w:ascii="宋体" w:hAnsi="宋体" w:eastAsia="宋体"/>
          <w:b w:val="0"/>
        </w:rPr>
        <w:t>企业服务通常通过企业微信、钉钉、飞书或类似即时通信平台维护大量客户群。客户在群内以文字、语音、图片、链接、文件、小程序卡片等形式提出咨询、报修、投诉、配件、权益和预约等诉求。由于消息天然呈异步流式到达，同一客户会分多条消息补充上下文，不同客户也可能在同一时间讨论同一公共事件。</w:t>
      </w:r>
    </w:p>
    <w:p>
      <w:pPr>
        <w:spacing w:line="300" w:lineRule="auto"/>
        <w:ind w:firstLine="420"/>
      </w:pPr>
      <w:r>
        <w:rPr>
          <w:rFonts w:ascii="宋体" w:hAnsi="宋体" w:eastAsia="宋体"/>
          <w:b w:val="0"/>
        </w:rPr>
        <w:t>如果系统逐条消息判断是否建单，容易造成上下文缺失；如果只按固定时间窗口聚合，又会在客户持续补充信息时长期不闭合。现有智能客服或工单系统通常偏重问答、摘要、单轮意图识别或人工分配提醒，缺少面向客户群消息流的状态化会话缓存、双阈值切分、同客户重复抑制、跨客户事件聚合、候选处理人约束派发和响应质量闭环的组合方案。</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宋体" w:hAnsi="宋体" w:eastAsia="宋体"/>
                <w:b/>
              </w:rPr>
              <w:t>公开资料</w:t>
            </w:r>
          </w:p>
        </w:tc>
        <w:tc>
          <w:tcPr>
            <w:tcW w:type="dxa" w:w="3264"/>
          </w:tcPr>
          <w:p>
            <w:r/>
            <w:r>
              <w:rPr>
                <w:rFonts w:ascii="宋体" w:hAnsi="宋体" w:eastAsia="宋体"/>
                <w:b/>
              </w:rPr>
              <w:t>可借鉴内容</w:t>
            </w:r>
          </w:p>
        </w:tc>
        <w:tc>
          <w:tcPr>
            <w:tcW w:type="dxa" w:w="3264"/>
          </w:tcPr>
          <w:p>
            <w:r/>
            <w:r>
              <w:rPr>
                <w:rFonts w:ascii="宋体" w:hAnsi="宋体" w:eastAsia="宋体"/>
                <w:b/>
              </w:rPr>
              <w:t>与本方案差异</w:t>
            </w:r>
          </w:p>
        </w:tc>
      </w:tr>
      <w:tr>
        <w:tc>
          <w:tcPr>
            <w:tcW w:type="dxa" w:w="3264"/>
          </w:tcPr>
          <w:p>
            <w:r/>
            <w:r>
              <w:rPr>
                <w:rFonts w:ascii="宋体" w:hAnsi="宋体" w:eastAsia="宋体"/>
              </w:rPr>
              <w:t>CN116032871B，基于聊天消息创建工单的方法、装置和设备</w:t>
            </w:r>
          </w:p>
        </w:tc>
        <w:tc>
          <w:tcPr>
            <w:tcW w:type="dxa" w:w="3264"/>
          </w:tcPr>
          <w:p>
            <w:r/>
            <w:r>
              <w:rPr>
                <w:rFonts w:ascii="宋体" w:hAnsi="宋体" w:eastAsia="宋体"/>
              </w:rPr>
              <w:t>从客户群聊天消息判断是否创建工单</w:t>
            </w:r>
          </w:p>
        </w:tc>
        <w:tc>
          <w:tcPr>
            <w:tcW w:type="dxa" w:w="3264"/>
          </w:tcPr>
          <w:p>
            <w:r/>
            <w:r>
              <w:rPr>
                <w:rFonts w:ascii="宋体" w:hAnsi="宋体" w:eastAsia="宋体"/>
              </w:rPr>
              <w:t>未公开同群同客户双阈值会话闭合、同客户重复抑制、跨客户事件聚合及反馈调参链路</w:t>
            </w:r>
          </w:p>
        </w:tc>
      </w:tr>
      <w:tr>
        <w:tc>
          <w:tcPr>
            <w:tcW w:type="dxa" w:w="3264"/>
          </w:tcPr>
          <w:p>
            <w:r/>
            <w:r>
              <w:rPr>
                <w:rFonts w:ascii="宋体" w:hAnsi="宋体" w:eastAsia="宋体"/>
              </w:rPr>
              <w:t>CN112686674A，一种客服对话工单总结方法，申请日2020-12-25，公开日2021-04-20，申请人科讯嘉联信息技术有限公司</w:t>
            </w:r>
          </w:p>
        </w:tc>
        <w:tc>
          <w:tcPr>
            <w:tcW w:type="dxa" w:w="3264"/>
          </w:tcPr>
          <w:p>
            <w:r/>
            <w:r>
              <w:rPr>
                <w:rFonts w:ascii="宋体" w:hAnsi="宋体" w:eastAsia="宋体"/>
              </w:rPr>
              <w:t>根据对话主题和槽位提取模型生成工单总结</w:t>
            </w:r>
          </w:p>
        </w:tc>
        <w:tc>
          <w:tcPr>
            <w:tcW w:type="dxa" w:w="3264"/>
          </w:tcPr>
          <w:p>
            <w:r/>
            <w:r>
              <w:rPr>
                <w:rFonts w:ascii="宋体" w:hAnsi="宋体" w:eastAsia="宋体"/>
              </w:rPr>
              <w:t>重点是对话主题拆解和槽位提取，不处理客户群异步消息流的切分、派发、告警和版本化策略更新</w:t>
            </w:r>
          </w:p>
        </w:tc>
      </w:tr>
      <w:tr>
        <w:tc>
          <w:tcPr>
            <w:tcW w:type="dxa" w:w="3264"/>
          </w:tcPr>
          <w:p>
            <w:r/>
            <w:r>
              <w:rPr>
                <w:rFonts w:ascii="宋体" w:hAnsi="宋体" w:eastAsia="宋体"/>
              </w:rPr>
              <w:t>企业即时通信/SCRM/会话存档类公开产品</w:t>
            </w:r>
          </w:p>
        </w:tc>
        <w:tc>
          <w:tcPr>
            <w:tcW w:type="dxa" w:w="3264"/>
          </w:tcPr>
          <w:p>
            <w:r/>
            <w:r>
              <w:rPr>
                <w:rFonts w:ascii="宋体" w:hAnsi="宋体" w:eastAsia="宋体"/>
              </w:rPr>
              <w:t>提供消息接入、客户关系和会话留痕能力</w:t>
            </w:r>
          </w:p>
        </w:tc>
        <w:tc>
          <w:tcPr>
            <w:tcW w:type="dxa" w:w="3264"/>
          </w:tcPr>
          <w:p>
            <w:r/>
            <w:r>
              <w:rPr>
                <w:rFonts w:ascii="宋体" w:hAnsi="宋体" w:eastAsia="宋体"/>
              </w:rPr>
              <w:t>通常未披露可专利化的状态缓存、定时器闭合、事件指纹聚合和派发监控闭环</w:t>
            </w:r>
          </w:p>
        </w:tc>
      </w:tr>
      <w:tr>
        <w:tc>
          <w:tcPr>
            <w:tcW w:type="dxa" w:w="3264"/>
          </w:tcPr>
          <w:p>
            <w:r/>
            <w:r>
              <w:rPr>
                <w:rFonts w:ascii="宋体" w:hAnsi="宋体" w:eastAsia="宋体"/>
              </w:rPr>
              <w:t>国外自动客服、意图识别、对话摘要类方案</w:t>
            </w:r>
          </w:p>
        </w:tc>
        <w:tc>
          <w:tcPr>
            <w:tcW w:type="dxa" w:w="3264"/>
          </w:tcPr>
          <w:p>
            <w:r/>
            <w:r>
              <w:rPr>
                <w:rFonts w:ascii="宋体" w:hAnsi="宋体" w:eastAsia="宋体"/>
              </w:rPr>
              <w:t>可用于语义识别或工单摘要</w:t>
            </w:r>
          </w:p>
        </w:tc>
        <w:tc>
          <w:tcPr>
            <w:tcW w:type="dxa" w:w="3264"/>
          </w:tcPr>
          <w:p>
            <w:r/>
            <w:r>
              <w:rPr>
                <w:rFonts w:ascii="宋体" w:hAnsi="宋体" w:eastAsia="宋体"/>
              </w:rPr>
              <w:t>不针对中国企业即时通信客户群的多客户交叉发言、群类型路由和运营监控场景</w:t>
            </w:r>
          </w:p>
        </w:tc>
      </w:tr>
    </w:tbl>
    <w:p/>
    <w:p>
      <w:pPr>
        <w:spacing w:line="300" w:lineRule="auto"/>
        <w:ind w:firstLine="420"/>
      </w:pPr>
      <w:r>
        <w:rPr>
          <w:rFonts w:ascii="宋体" w:hAnsi="宋体" w:eastAsia="宋体"/>
          <w:b w:val="0"/>
        </w:rPr>
        <w:t>因此，本方案的创新重点不放在单纯使用大模型或语义模型识别意图，而放在消息流状态管理、会话任务边界、重复与聚合的分离判定、候选处理人生成、监控开关解耦以及基于复核指标的策略版本更新。</w:t>
      </w:r>
    </w:p>
    <w:p>
      <w:pPr>
        <w:pStyle w:val="Heading1"/>
      </w:pPr>
      <w:r>
        <w:rPr>
          <w:rFonts w:ascii="黑体" w:hAnsi="黑体" w:eastAsia="黑体"/>
          <w:color w:val="000000"/>
        </w:rPr>
        <w:t>四、要解决的技术问题</w:t>
      </w:r>
    </w:p>
    <w:p>
      <w:pPr>
        <w:spacing w:line="288" w:lineRule="auto"/>
        <w:ind w:left="360" w:hanging="360"/>
      </w:pPr>
      <w:r>
        <w:rPr>
          <w:rFonts w:ascii="宋体" w:hAnsi="宋体" w:eastAsia="宋体"/>
        </w:rPr>
        <w:t>（1）在异步客户群消息流中，如何按群和客户维度维持会话状态，使多条补充消息形成完整任务，同时避免任务长期不闭合。</w:t>
      </w:r>
    </w:p>
    <w:p>
      <w:pPr>
        <w:spacing w:line="288" w:lineRule="auto"/>
        <w:ind w:left="360" w:hanging="360"/>
      </w:pPr>
      <w:r>
        <w:rPr>
          <w:rFonts w:ascii="宋体" w:hAnsi="宋体" w:eastAsia="宋体"/>
        </w:rPr>
        <w:t>（2）如何在分布式接入、乱序到达和重复回调情况下避免同一会话被重复闭合或重复发送工单。</w:t>
      </w:r>
    </w:p>
    <w:p>
      <w:pPr>
        <w:spacing w:line="288" w:lineRule="auto"/>
        <w:ind w:left="360" w:hanging="360"/>
      </w:pPr>
      <w:r>
        <w:rPr>
          <w:rFonts w:ascii="宋体" w:hAnsi="宋体" w:eastAsia="宋体"/>
        </w:rPr>
        <w:t>（3）如何区分同一客户在短时间内重复提出的同一诉求，与多个客户围绕同一公共事件提出的相似诉求。</w:t>
      </w:r>
    </w:p>
    <w:p>
      <w:pPr>
        <w:spacing w:line="288" w:lineRule="auto"/>
        <w:ind w:left="360" w:hanging="360"/>
      </w:pPr>
      <w:r>
        <w:rPr>
          <w:rFonts w:ascii="宋体" w:hAnsi="宋体" w:eastAsia="宋体"/>
        </w:rPr>
        <w:t>（4）如何根据群类型、意图、技能标签、值班时段、在线状态、权限和负载上限生成处理人候选，并在无候选或发送失败时进行兜底。</w:t>
      </w:r>
    </w:p>
    <w:p>
      <w:pPr>
        <w:spacing w:line="288" w:lineRule="auto"/>
        <w:ind w:left="360" w:hanging="360"/>
      </w:pPr>
      <w:r>
        <w:rPr>
          <w:rFonts w:ascii="宋体" w:hAnsi="宋体" w:eastAsia="宋体"/>
        </w:rPr>
        <w:t>（5）如何在不必对所有消息都派单的情况下保持响应监听、超时告警和高风险意图升级。</w:t>
      </w:r>
    </w:p>
    <w:p>
      <w:pPr>
        <w:spacing w:line="288" w:lineRule="auto"/>
        <w:ind w:left="360" w:hanging="360"/>
      </w:pPr>
      <w:r>
        <w:rPr>
          <w:rFonts w:ascii="宋体" w:hAnsi="宋体" w:eastAsia="宋体"/>
        </w:rPr>
        <w:t>（6）如何将人工复核结果转化为可执行的阈值、相似度、兜底策略和发布版本调整。</w:t>
      </w:r>
    </w:p>
    <w:p>
      <w:pPr>
        <w:pStyle w:val="Heading1"/>
      </w:pPr>
      <w:r>
        <w:rPr>
          <w:rFonts w:ascii="黑体" w:hAnsi="黑体" w:eastAsia="黑体"/>
          <w:color w:val="000000"/>
        </w:rPr>
        <w:t>五、系统总体结构</w:t>
      </w:r>
    </w:p>
    <w:p>
      <w:pPr>
        <w:jc w:val="center"/>
      </w:pPr>
      <w:r>
        <w:drawing>
          <wp:inline xmlns:a="http://schemas.openxmlformats.org/drawingml/2006/main" xmlns:pic="http://schemas.openxmlformats.org/drawingml/2006/picture">
            <wp:extent cx="5852160" cy="2999232"/>
            <wp:docPr id="1" name="Picture 1"/>
            <wp:cNvGraphicFramePr>
              <a:graphicFrameLocks noChangeAspect="1"/>
            </wp:cNvGraphicFramePr>
            <a:graphic>
              <a:graphicData uri="http://schemas.openxmlformats.org/drawingml/2006/picture">
                <pic:pic>
                  <pic:nvPicPr>
                    <pic:cNvPr id="0" name="01_system_architecture.jpg"/>
                    <pic:cNvPicPr/>
                  </pic:nvPicPr>
                  <pic:blipFill>
                    <a:blip r:embed="rId9"/>
                    <a:stretch>
                      <a:fillRect/>
                    </a:stretch>
                  </pic:blipFill>
                  <pic:spPr>
                    <a:xfrm>
                      <a:off x="0" y="0"/>
                      <a:ext cx="5852160" cy="2999232"/>
                    </a:xfrm>
                    <a:prstGeom prst="rect"/>
                  </pic:spPr>
                </pic:pic>
              </a:graphicData>
            </a:graphic>
          </wp:inline>
        </w:drawing>
      </w:r>
    </w:p>
    <w:p>
      <w:pPr>
        <w:jc w:val="center"/>
      </w:pPr>
      <w:r>
        <w:rPr>
          <w:rFonts w:ascii="宋体" w:hAnsi="宋体" w:eastAsia="宋体"/>
          <w:sz w:val="18"/>
        </w:rPr>
        <w:t>图1 系统总体结构示意图</w:t>
      </w:r>
    </w:p>
    <w:p>
      <w:pPr>
        <w:spacing w:line="300" w:lineRule="auto"/>
        <w:ind w:firstLine="420"/>
      </w:pPr>
      <w:r>
        <w:rPr>
          <w:rFonts w:ascii="宋体" w:hAnsi="宋体" w:eastAsia="宋体"/>
          <w:b w:val="0"/>
        </w:rPr>
        <w:t>系统包括接入层、状态处理层、语义处理层、任务决策层、监控反馈层以及数据存储。接入层采集平台消息回调并进行身份归并；状态处理层维护SessionBuffer并执行双阈值闭合；语义处理层进行格式归一、意图识别和事件指纹生成；任务决策层执行重复抑制、事件聚合和候选处理人派发；监控反馈层负责响应监听、告警升级、人工复核和策略调参。</w:t>
      </w:r>
    </w:p>
    <w:p>
      <w:pPr>
        <w:pStyle w:val="Heading1"/>
      </w:pPr>
      <w:r>
        <w:rPr>
          <w:rFonts w:ascii="黑体" w:hAnsi="黑体" w:eastAsia="黑体"/>
          <w:color w:val="000000"/>
        </w:rPr>
        <w:t>六、整体方法流程</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2_method_flow.jpg"/>
                    <pic:cNvPicPr/>
                  </pic:nvPicPr>
                  <pic:blipFill>
                    <a:blip r:embed="rId10"/>
                    <a:stretch>
                      <a:fillRect/>
                    </a:stretch>
                  </pic:blipFill>
                  <pic:spPr>
                    <a:xfrm>
                      <a:off x="0" y="0"/>
                      <a:ext cx="5852160" cy="3657600"/>
                    </a:xfrm>
                    <a:prstGeom prst="rect"/>
                  </pic:spPr>
                </pic:pic>
              </a:graphicData>
            </a:graphic>
          </wp:inline>
        </w:drawing>
      </w:r>
    </w:p>
    <w:p>
      <w:pPr>
        <w:jc w:val="center"/>
      </w:pPr>
      <w:r>
        <w:rPr>
          <w:rFonts w:ascii="宋体" w:hAnsi="宋体" w:eastAsia="宋体"/>
          <w:sz w:val="18"/>
        </w:rPr>
        <w:t>图2 整体方法流程示意图</w:t>
      </w:r>
    </w:p>
    <w:p>
      <w:pPr>
        <w:spacing w:line="288" w:lineRule="auto"/>
        <w:ind w:left="360" w:hanging="360"/>
      </w:pPr>
      <w:r>
        <w:rPr>
          <w:rFonts w:ascii="宋体" w:hAnsi="宋体" w:eastAsia="宋体"/>
        </w:rPr>
        <w:t>（1）接收客户群消息事件，记录平台标识、消息标识、群标识、发送者标识、发送者类型、消息类型、发送时间和接收时间。</w:t>
      </w:r>
    </w:p>
    <w:p>
      <w:pPr>
        <w:spacing w:line="288" w:lineRule="auto"/>
        <w:ind w:left="360" w:hanging="360"/>
      </w:pPr>
      <w:r>
        <w:rPr>
          <w:rFonts w:ascii="宋体" w:hAnsi="宋体" w:eastAsia="宋体"/>
        </w:rPr>
        <w:t>（2）通过成员表、托管账号表、机器人表、客户身份映射表进行身份归并，过滤员工、机器人、系统通知和黑名单消息。</w:t>
      </w:r>
    </w:p>
    <w:p>
      <w:pPr>
        <w:spacing w:line="288" w:lineRule="auto"/>
        <w:ind w:left="360" w:hanging="360"/>
      </w:pPr>
      <w:r>
        <w:rPr>
          <w:rFonts w:ascii="宋体" w:hAnsi="宋体" w:eastAsia="宋体"/>
        </w:rPr>
        <w:t>（3）以(group_id, customer_id)为键写入SessionBuffer，追加message_id_list，刷新last_message_time并维护idle_timer和duration_timer。</w:t>
      </w:r>
    </w:p>
    <w:p>
      <w:pPr>
        <w:spacing w:line="288" w:lineRule="auto"/>
        <w:ind w:left="360" w:hanging="360"/>
      </w:pPr>
      <w:r>
        <w:rPr>
          <w:rFonts w:ascii="宋体" w:hAnsi="宋体" w:eastAsia="宋体"/>
        </w:rPr>
        <w:t>（4）当空闲阈值或最长持续阈值满足时，获取分布式锁并校验缓存版本，闭合会话并生成标准化任务。</w:t>
      </w:r>
    </w:p>
    <w:p>
      <w:pPr>
        <w:spacing w:line="288" w:lineRule="auto"/>
        <w:ind w:left="360" w:hanging="360"/>
      </w:pPr>
      <w:r>
        <w:rPr>
          <w:rFonts w:ascii="宋体" w:hAnsi="宋体" w:eastAsia="宋体"/>
        </w:rPr>
        <w:t>（5）对任务内容进行格式归一、意图识别、事件指纹生成，并分别进入同客户重复抑制和跨客户事件聚合。</w:t>
      </w:r>
    </w:p>
    <w:p>
      <w:pPr>
        <w:spacing w:line="288" w:lineRule="auto"/>
        <w:ind w:left="360" w:hanging="360"/>
      </w:pPr>
      <w:r>
        <w:rPr>
          <w:rFonts w:ascii="宋体" w:hAnsi="宋体" w:eastAsia="宋体"/>
        </w:rPr>
        <w:t>（6）未被合并的任务根据候选处理人生成、约束过滤和多级优先级排序完成派发，并写入幂等发送键。</w:t>
      </w:r>
    </w:p>
    <w:p>
      <w:pPr>
        <w:spacing w:line="288" w:lineRule="auto"/>
        <w:ind w:left="360" w:hanging="360"/>
      </w:pPr>
      <w:r>
        <w:rPr>
          <w:rFonts w:ascii="宋体" w:hAnsi="宋体" w:eastAsia="宋体"/>
        </w:rPr>
        <w:t>（7）系统独立建立响应监听，根据轻度超时、严重超时和高风险意图触发告警。</w:t>
      </w:r>
    </w:p>
    <w:p>
      <w:pPr>
        <w:spacing w:line="288" w:lineRule="auto"/>
        <w:ind w:left="360" w:hanging="360"/>
      </w:pPr>
      <w:r>
        <w:rPr>
          <w:rFonts w:ascii="宋体" w:hAnsi="宋体" w:eastAsia="宋体"/>
        </w:rPr>
        <w:t>（8）人工复核样本形成质量指标，策略评估模块在有界候选参数内选择新版本并支持灰度发布和回滚。</w:t>
      </w:r>
    </w:p>
    <w:p>
      <w:pPr>
        <w:pStyle w:val="Heading1"/>
      </w:pPr>
      <w:r>
        <w:rPr>
          <w:rFonts w:ascii="黑体" w:hAnsi="黑体" w:eastAsia="黑体"/>
          <w:color w:val="000000"/>
        </w:rPr>
        <w:t>七、核心数据对象</w:t>
      </w:r>
    </w:p>
    <w:p>
      <w:pPr>
        <w:jc w:val="center"/>
      </w:pPr>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09_data_objects.jpg"/>
                    <pic:cNvPicPr/>
                  </pic:nvPicPr>
                  <pic:blipFill>
                    <a:blip r:embed="rId11"/>
                    <a:stretch>
                      <a:fillRect/>
                    </a:stretch>
                  </pic:blipFill>
                  <pic:spPr>
                    <a:xfrm>
                      <a:off x="0" y="0"/>
                      <a:ext cx="5852160" cy="3511296"/>
                    </a:xfrm>
                    <a:prstGeom prst="rect"/>
                  </pic:spPr>
                </pic:pic>
              </a:graphicData>
            </a:graphic>
          </wp:inline>
        </w:drawing>
      </w:r>
    </w:p>
    <w:p>
      <w:pPr>
        <w:jc w:val="center"/>
      </w:pPr>
      <w:r>
        <w:rPr>
          <w:rFonts w:ascii="宋体" w:hAnsi="宋体" w:eastAsia="宋体"/>
          <w:sz w:val="18"/>
        </w:rPr>
        <w:t>图3 核心数据对象关联示意图</w:t>
      </w:r>
    </w:p>
    <w:tbl>
      <w:tblPr>
        <w:tblStyle w:val="TableGrid"/>
        <w:tblW w:type="auto" w:w="0"/>
        <w:tblLook w:firstColumn="1" w:firstRow="1" w:lastColumn="0" w:lastRow="0" w:noHBand="0" w:noVBand="1" w:val="04A0"/>
      </w:tblPr>
      <w:tblGrid>
        <w:gridCol w:w="4896"/>
        <w:gridCol w:w="4896"/>
      </w:tblGrid>
      <w:tr>
        <w:tc>
          <w:tcPr>
            <w:tcW w:type="dxa" w:w="4896"/>
          </w:tcPr>
          <w:p>
            <w:r/>
            <w:r>
              <w:rPr>
                <w:rFonts w:ascii="宋体" w:hAnsi="宋体" w:eastAsia="宋体"/>
                <w:b/>
              </w:rPr>
              <w:t>对象</w:t>
            </w:r>
          </w:p>
        </w:tc>
        <w:tc>
          <w:tcPr>
            <w:tcW w:type="dxa" w:w="4896"/>
          </w:tcPr>
          <w:p>
            <w:r/>
            <w:r>
              <w:rPr>
                <w:rFonts w:ascii="宋体" w:hAnsi="宋体" w:eastAsia="宋体"/>
                <w:b/>
              </w:rPr>
              <w:t>关键字段</w:t>
            </w:r>
          </w:p>
        </w:tc>
      </w:tr>
      <w:tr>
        <w:tc>
          <w:tcPr>
            <w:tcW w:type="dxa" w:w="4896"/>
          </w:tcPr>
          <w:p>
            <w:r/>
            <w:r>
              <w:rPr>
                <w:rFonts w:ascii="宋体" w:hAnsi="宋体" w:eastAsia="宋体"/>
              </w:rPr>
              <w:t>MessageEvent</w:t>
            </w:r>
          </w:p>
        </w:tc>
        <w:tc>
          <w:tcPr>
            <w:tcW w:type="dxa" w:w="4896"/>
          </w:tcPr>
          <w:p>
            <w:r/>
            <w:r>
              <w:rPr>
                <w:rFonts w:ascii="宋体" w:hAnsi="宋体" w:eastAsia="宋体"/>
              </w:rPr>
              <w:t>message_id、platform_id、group_id、sender_id、sender_type、message_type、content、media_reference、send_time、receive_time、reply_reference</w:t>
            </w:r>
          </w:p>
        </w:tc>
      </w:tr>
      <w:tr>
        <w:tc>
          <w:tcPr>
            <w:tcW w:type="dxa" w:w="4896"/>
          </w:tcPr>
          <w:p>
            <w:r/>
            <w:r>
              <w:rPr>
                <w:rFonts w:ascii="宋体" w:hAnsi="宋体" w:eastAsia="宋体"/>
              </w:rPr>
              <w:t>SessionBuffer</w:t>
            </w:r>
          </w:p>
        </w:tc>
        <w:tc>
          <w:tcPr>
            <w:tcW w:type="dxa" w:w="4896"/>
          </w:tcPr>
          <w:p>
            <w:r/>
            <w:r>
              <w:rPr>
                <w:rFonts w:ascii="宋体" w:hAnsi="宋体" w:eastAsia="宋体"/>
              </w:rPr>
              <w:t>session_id、group_id、customer_id、message_id_list、first_message_time、last_message_time、session_status、idle_timer、duration_timer、version</w:t>
            </w:r>
          </w:p>
        </w:tc>
      </w:tr>
      <w:tr>
        <w:tc>
          <w:tcPr>
            <w:tcW w:type="dxa" w:w="4896"/>
          </w:tcPr>
          <w:p>
            <w:r/>
            <w:r>
              <w:rPr>
                <w:rFonts w:ascii="宋体" w:hAnsi="宋体" w:eastAsia="宋体"/>
              </w:rPr>
              <w:t>Task</w:t>
            </w:r>
          </w:p>
        </w:tc>
        <w:tc>
          <w:tcPr>
            <w:tcW w:type="dxa" w:w="4896"/>
          </w:tcPr>
          <w:p>
            <w:r/>
            <w:r>
              <w:rPr>
                <w:rFonts w:ascii="宋体" w:hAnsi="宋体" w:eastAsia="宋体"/>
              </w:rPr>
              <w:t>task_id、source_session_id、normalized_content、intent_category、intent_confidence、dispatchable_flag、event_fingerprint、associated_customer_ids、assigned_target、task_status、sla_level、creation_time</w:t>
            </w:r>
          </w:p>
        </w:tc>
      </w:tr>
      <w:tr>
        <w:tc>
          <w:tcPr>
            <w:tcW w:type="dxa" w:w="4896"/>
          </w:tcPr>
          <w:p>
            <w:r/>
            <w:r>
              <w:rPr>
                <w:rFonts w:ascii="宋体" w:hAnsi="宋体" w:eastAsia="宋体"/>
              </w:rPr>
              <w:t>ReviewRecord</w:t>
            </w:r>
          </w:p>
        </w:tc>
        <w:tc>
          <w:tcPr>
            <w:tcW w:type="dxa" w:w="4896"/>
          </w:tcPr>
          <w:p>
            <w:r/>
            <w:r>
              <w:rPr>
                <w:rFonts w:ascii="宋体" w:hAnsi="宋体" w:eastAsia="宋体"/>
              </w:rPr>
              <w:t>review_id、task_id、expected_boundary、expected_intent、expected_assignee、duplicate_flag、missed_flag、reviewer、review_time</w:t>
            </w:r>
          </w:p>
        </w:tc>
      </w:tr>
      <w:tr>
        <w:tc>
          <w:tcPr>
            <w:tcW w:type="dxa" w:w="4896"/>
          </w:tcPr>
          <w:p>
            <w:r/>
            <w:r>
              <w:rPr>
                <w:rFonts w:ascii="宋体" w:hAnsi="宋体" w:eastAsia="宋体"/>
              </w:rPr>
              <w:t>StrategyVersion</w:t>
            </w:r>
          </w:p>
        </w:tc>
        <w:tc>
          <w:tcPr>
            <w:tcW w:type="dxa" w:w="4896"/>
          </w:tcPr>
          <w:p>
            <w:r/>
            <w:r>
              <w:rPr>
                <w:rFonts w:ascii="宋体" w:hAnsi="宋体" w:eastAsia="宋体"/>
              </w:rPr>
              <w:t>version_id、scope、T_gap、T_duration、T_dup、T_event、θ_dup、θ_event、publish_time、rollback_version、approval_status</w:t>
            </w:r>
          </w:p>
        </w:tc>
      </w:tr>
    </w:tbl>
    <w:p/>
    <w:p>
      <w:pPr>
        <w:pStyle w:val="Heading1"/>
      </w:pPr>
      <w:r>
        <w:rPr>
          <w:rFonts w:ascii="黑体" w:hAnsi="黑体" w:eastAsia="黑体"/>
          <w:color w:val="000000"/>
        </w:rPr>
        <w:t>八、符号、参数与公式</w:t>
      </w:r>
    </w:p>
    <w:tbl>
      <w:tblPr>
        <w:tblStyle w:val="TableGrid"/>
        <w:tblW w:type="auto" w:w="0"/>
        <w:tblLook w:firstColumn="1" w:firstRow="1" w:lastColumn="0" w:lastRow="0" w:noHBand="0" w:noVBand="1" w:val="04A0"/>
      </w:tblPr>
      <w:tblGrid>
        <w:gridCol w:w="4896"/>
        <w:gridCol w:w="4896"/>
      </w:tblGrid>
      <w:tr>
        <w:tc>
          <w:tcPr>
            <w:tcW w:type="dxa" w:w="4896"/>
          </w:tcPr>
          <w:p>
            <w:r/>
            <w:r>
              <w:rPr>
                <w:rFonts w:ascii="宋体" w:hAnsi="宋体" w:eastAsia="宋体"/>
                <w:b/>
              </w:rPr>
              <w:t>符号</w:t>
            </w:r>
          </w:p>
        </w:tc>
        <w:tc>
          <w:tcPr>
            <w:tcW w:type="dxa" w:w="4896"/>
          </w:tcPr>
          <w:p>
            <w:r/>
            <w:r>
              <w:rPr>
                <w:rFonts w:ascii="宋体" w:hAnsi="宋体" w:eastAsia="宋体"/>
                <w:b/>
              </w:rPr>
              <w:t>含义</w:t>
            </w:r>
          </w:p>
        </w:tc>
      </w:tr>
      <w:tr>
        <w:tc>
          <w:tcPr>
            <w:tcW w:type="dxa" w:w="4896"/>
          </w:tcPr>
          <w:p>
            <w:r/>
            <w:r>
              <w:rPr>
                <w:rFonts w:ascii="宋体" w:hAnsi="宋体" w:eastAsia="宋体"/>
              </w:rPr>
              <w:t>g、u、k</w:t>
            </w:r>
          </w:p>
        </w:tc>
        <w:tc>
          <w:tcPr>
            <w:tcW w:type="dxa" w:w="4896"/>
          </w:tcPr>
          <w:p>
            <w:r/>
            <w:r>
              <w:rPr>
                <w:rFonts w:ascii="宋体" w:hAnsi="宋体" w:eastAsia="宋体"/>
              </w:rPr>
              <w:t>群标识、客户标识、同一(group_id, customer_id)下的消息序号</w:t>
            </w:r>
          </w:p>
        </w:tc>
      </w:tr>
      <w:tr>
        <w:tc>
          <w:tcPr>
            <w:tcW w:type="dxa" w:w="4896"/>
          </w:tcPr>
          <w:p>
            <w:r/>
            <w:r>
              <w:rPr>
                <w:rFonts w:ascii="宋体" w:hAnsi="宋体" w:eastAsia="宋体"/>
              </w:rPr>
              <w:t>Δt_k</w:t>
            </w:r>
          </w:p>
        </w:tc>
        <w:tc>
          <w:tcPr>
            <w:tcW w:type="dxa" w:w="4896"/>
          </w:tcPr>
          <w:p>
            <w:r/>
            <w:r>
              <w:rPr>
                <w:rFonts w:ascii="宋体" w:hAnsi="宋体" w:eastAsia="宋体"/>
              </w:rPr>
              <w:t>第k条消息与第k-1条消息的发送或接收时间差</w:t>
            </w:r>
          </w:p>
        </w:tc>
      </w:tr>
      <w:tr>
        <w:tc>
          <w:tcPr>
            <w:tcW w:type="dxa" w:w="4896"/>
          </w:tcPr>
          <w:p>
            <w:r/>
            <w:r>
              <w:rPr>
                <w:rFonts w:ascii="宋体" w:hAnsi="宋体" w:eastAsia="宋体"/>
              </w:rPr>
              <w:t>L_{g,u,k}</w:t>
            </w:r>
          </w:p>
        </w:tc>
        <w:tc>
          <w:tcPr>
            <w:tcW w:type="dxa" w:w="4896"/>
          </w:tcPr>
          <w:p>
            <w:r/>
            <w:r>
              <w:rPr>
                <w:rFonts w:ascii="宋体" w:hAnsi="宋体" w:eastAsia="宋体"/>
              </w:rPr>
              <w:t>同一群同一客户当前会话从首条消息到第k条消息的持续时长</w:t>
            </w:r>
          </w:p>
        </w:tc>
      </w:tr>
      <w:tr>
        <w:tc>
          <w:tcPr>
            <w:tcW w:type="dxa" w:w="4896"/>
          </w:tcPr>
          <w:p>
            <w:r/>
            <w:r>
              <w:rPr>
                <w:rFonts w:ascii="宋体" w:hAnsi="宋体" w:eastAsia="宋体"/>
              </w:rPr>
              <w:t>T_gap、T_duration</w:t>
            </w:r>
          </w:p>
        </w:tc>
        <w:tc>
          <w:tcPr>
            <w:tcW w:type="dxa" w:w="4896"/>
          </w:tcPr>
          <w:p>
            <w:r/>
            <w:r>
              <w:rPr>
                <w:rFonts w:ascii="宋体" w:hAnsi="宋体" w:eastAsia="宋体"/>
              </w:rPr>
              <w:t>空闲闭合阈值、最长持续时长阈值</w:t>
            </w:r>
          </w:p>
        </w:tc>
      </w:tr>
      <w:tr>
        <w:tc>
          <w:tcPr>
            <w:tcW w:type="dxa" w:w="4896"/>
          </w:tcPr>
          <w:p>
            <w:r/>
            <w:r>
              <w:rPr>
                <w:rFonts w:ascii="宋体" w:hAnsi="宋体" w:eastAsia="宋体"/>
              </w:rPr>
              <w:t>x、y</w:t>
            </w:r>
          </w:p>
        </w:tc>
        <w:tc>
          <w:tcPr>
            <w:tcW w:type="dxa" w:w="4896"/>
          </w:tcPr>
          <w:p>
            <w:r/>
            <w:r>
              <w:rPr>
                <w:rFonts w:ascii="宋体" w:hAnsi="宋体" w:eastAsia="宋体"/>
              </w:rPr>
              <w:t>新任务和已存在工单或事件任务</w:t>
            </w:r>
          </w:p>
        </w:tc>
      </w:tr>
      <w:tr>
        <w:tc>
          <w:tcPr>
            <w:tcW w:type="dxa" w:w="4896"/>
          </w:tcPr>
          <w:p>
            <w:r/>
            <w:r>
              <w:rPr>
                <w:rFonts w:ascii="宋体" w:hAnsi="宋体" w:eastAsia="宋体"/>
              </w:rPr>
              <w:t>g_x、g_y、u_x、u_y、Δt_{x,y}</w:t>
            </w:r>
          </w:p>
        </w:tc>
        <w:tc>
          <w:tcPr>
            <w:tcW w:type="dxa" w:w="4896"/>
          </w:tcPr>
          <w:p>
            <w:r/>
            <w:r>
              <w:rPr>
                <w:rFonts w:ascii="宋体" w:hAnsi="宋体" w:eastAsia="宋体"/>
              </w:rPr>
              <w:t>任务x、y的群、客户以及任务间时间差</w:t>
            </w:r>
          </w:p>
        </w:tc>
      </w:tr>
      <w:tr>
        <w:tc>
          <w:tcPr>
            <w:tcW w:type="dxa" w:w="4896"/>
          </w:tcPr>
          <w:p>
            <w:r/>
            <w:r>
              <w:rPr>
                <w:rFonts w:ascii="宋体" w:hAnsi="宋体" w:eastAsia="宋体"/>
              </w:rPr>
              <w:t>θ_dup、θ_event</w:t>
            </w:r>
          </w:p>
        </w:tc>
        <w:tc>
          <w:tcPr>
            <w:tcW w:type="dxa" w:w="4896"/>
          </w:tcPr>
          <w:p>
            <w:r/>
            <w:r>
              <w:rPr>
                <w:rFonts w:ascii="宋体" w:hAnsi="宋体" w:eastAsia="宋体"/>
              </w:rPr>
              <w:t>同客户重复抑制相似度阈值、跨客户事件聚合相似度阈值</w:t>
            </w:r>
          </w:p>
        </w:tc>
      </w:tr>
      <w:tr>
        <w:tc>
          <w:tcPr>
            <w:tcW w:type="dxa" w:w="4896"/>
          </w:tcPr>
          <w:p>
            <w:r/>
            <w:r>
              <w:rPr>
                <w:rFonts w:ascii="宋体" w:hAnsi="宋体" w:eastAsia="宋体"/>
              </w:rPr>
              <w:t>N_user、A_amb、S_avg</w:t>
            </w:r>
          </w:p>
        </w:tc>
        <w:tc>
          <w:tcPr>
            <w:tcW w:type="dxa" w:w="4896"/>
          </w:tcPr>
          <w:p>
            <w:r/>
            <w:r>
              <w:rPr>
                <w:rFonts w:ascii="宋体" w:hAnsi="宋体" w:eastAsia="宋体"/>
              </w:rPr>
              <w:t>事件窗口内客户数、公共事件歧义标志、平均相似度</w:t>
            </w:r>
          </w:p>
        </w:tc>
      </w:tr>
      <w:tr>
        <w:tc>
          <w:tcPr>
            <w:tcW w:type="dxa" w:w="4896"/>
          </w:tcPr>
          <w:p>
            <w:r/>
            <w:r>
              <w:rPr>
                <w:rFonts w:ascii="宋体" w:hAnsi="宋体" w:eastAsia="宋体"/>
              </w:rPr>
              <w:t>R(x)、t_{x,first}</w:t>
            </w:r>
          </w:p>
        </w:tc>
        <w:tc>
          <w:tcPr>
            <w:tcW w:type="dxa" w:w="4896"/>
          </w:tcPr>
          <w:p>
            <w:r/>
            <w:r>
              <w:rPr>
                <w:rFonts w:ascii="宋体" w:hAnsi="宋体" w:eastAsia="宋体"/>
              </w:rPr>
              <w:t>任务x是否已有有效回复、任务x首次待响应时间</w:t>
            </w:r>
          </w:p>
        </w:tc>
      </w:tr>
      <w:tr>
        <w:tc>
          <w:tcPr>
            <w:tcW w:type="dxa" w:w="4896"/>
          </w:tcPr>
          <w:p>
            <w:r/>
            <w:r>
              <w:rPr>
                <w:rFonts w:ascii="宋体" w:hAnsi="宋体" w:eastAsia="宋体"/>
              </w:rPr>
              <w:t>N_correct、N_ticket、N_miss、N_need、N_dup</w:t>
            </w:r>
          </w:p>
        </w:tc>
        <w:tc>
          <w:tcPr>
            <w:tcW w:type="dxa" w:w="4896"/>
          </w:tcPr>
          <w:p>
            <w:r/>
            <w:r>
              <w:rPr>
                <w:rFonts w:ascii="宋体" w:hAnsi="宋体" w:eastAsia="宋体"/>
              </w:rPr>
              <w:t>正确任务数、任务总数、漏单数、应建单需求数、重复任务数</w:t>
            </w:r>
          </w:p>
        </w:tc>
      </w:tr>
    </w:tbl>
    <w:p/>
    <w:p>
      <w:pPr>
        <w:spacing w:before="60" w:after="120"/>
        <w:jc w:val="center"/>
      </w:pPr>
      <m:oMathPara>
        <m:oMath>
          <m:sSub>
            <m:e>
              <m:r>
                <m:t>Close</m:t>
              </m:r>
            </m:e>
            <m:sub>
              <m:r>
                <m:t>g,u,k</m:t>
              </m:r>
            </m:sub>
          </m:sSub>
          <m:r>
            <m:t>=1 ⇔ (</m:t>
          </m:r>
          <m:sSub>
            <m:e>
              <m:r>
                <m:t>Δt</m:t>
              </m:r>
            </m:e>
            <m:sub>
              <m:r>
                <m:t>k</m:t>
              </m:r>
            </m:sub>
          </m:sSub>
          <m:r>
            <m:t>≥</m:t>
          </m:r>
          <m:sSub>
            <m:e>
              <m:r>
                <m:t>T</m:t>
              </m:r>
            </m:e>
            <m:sub>
              <m:r>
                <m:t>gap</m:t>
              </m:r>
            </m:sub>
          </m:sSub>
          <m:r>
            <m:t>) ∨ (</m:t>
          </m:r>
          <m:sSub>
            <m:e>
              <m:r>
                <m:t>L</m:t>
              </m:r>
            </m:e>
            <m:sub>
              <m:r>
                <m:t>g,u,k</m:t>
              </m:r>
            </m:sub>
          </m:sSub>
          <m:r>
            <m:t>≥</m:t>
          </m:r>
          <m:sSub>
            <m:e>
              <m:r>
                <m:t>T</m:t>
              </m:r>
            </m:e>
            <m:sub>
              <m:r>
                <m:t>duration</m:t>
              </m:r>
            </m:sub>
          </m:sSub>
          <m:r>
            <m:t>)</m:t>
          </m:r>
        </m:oMath>
      </m:oMathPara>
    </w:p>
    <w:p>
      <w:pPr>
        <w:spacing w:before="60" w:after="120"/>
        <w:jc w:val="center"/>
      </w:pPr>
      <m:oMathPara>
        <m:oMath>
          <m:r>
            <m:t>Merge(x,y)=1 ⇔ (</m:t>
          </m:r>
          <m:sSub>
            <m:e>
              <m:r>
                <m:t>g</m:t>
              </m:r>
            </m:e>
            <m:sub>
              <m:r>
                <m:t>x</m:t>
              </m:r>
            </m:sub>
          </m:sSub>
          <m:r>
            <m:t>=</m:t>
          </m:r>
          <m:sSub>
            <m:e>
              <m:r>
                <m:t>g</m:t>
              </m:r>
            </m:e>
            <m:sub>
              <m:r>
                <m:t>y</m:t>
              </m:r>
            </m:sub>
          </m:sSub>
          <m:r>
            <m:t>) ∧ (</m:t>
          </m:r>
          <m:sSub>
            <m:e>
              <m:r>
                <m:t>u</m:t>
              </m:r>
            </m:e>
            <m:sub>
              <m:r>
                <m:t>x</m:t>
              </m:r>
            </m:sub>
          </m:sSub>
          <m:r>
            <m:t>=</m:t>
          </m:r>
          <m:sSub>
            <m:e>
              <m:r>
                <m:t>u</m:t>
              </m:r>
            </m:e>
            <m:sub>
              <m:r>
                <m:t>y</m:t>
              </m:r>
            </m:sub>
          </m:sSub>
          <m:r>
            <m:t>) ∧ (S(x,y)≥</m:t>
          </m:r>
          <m:sSub>
            <m:e>
              <m:r>
                <m:t>θ</m:t>
              </m:r>
            </m:e>
            <m:sub>
              <m:r>
                <m:t>dup</m:t>
              </m:r>
            </m:sub>
          </m:sSub>
          <m:r>
            <m:t>) ∧ (</m:t>
          </m:r>
          <m:sSub>
            <m:e>
              <m:r>
                <m:t>Δt</m:t>
              </m:r>
            </m:e>
            <m:sub>
              <m:r>
                <m:t>x,y</m:t>
              </m:r>
            </m:sub>
          </m:sSub>
          <m:r>
            <m:t>≤</m:t>
          </m:r>
          <m:sSub>
            <m:e>
              <m:r>
                <m:t>T</m:t>
              </m:r>
            </m:e>
            <m:sub>
              <m:r>
                <m:t>dup</m:t>
              </m:r>
            </m:sub>
          </m:sSub>
          <m:r>
            <m:t>)</m:t>
          </m:r>
        </m:oMath>
      </m:oMathPara>
    </w:p>
    <w:p>
      <w:pPr>
        <w:spacing w:before="60" w:after="120"/>
        <w:jc w:val="center"/>
      </w:pPr>
      <m:oMathPara>
        <m:oMath>
          <m:r>
            <m:t>Event(x,y)=1 ⇔ (</m:t>
          </m:r>
          <m:sSub>
            <m:e>
              <m:r>
                <m:t>g</m:t>
              </m:r>
            </m:e>
            <m:sub>
              <m:r>
                <m:t>x</m:t>
              </m:r>
            </m:sub>
          </m:sSub>
          <m:r>
            <m:t>=</m:t>
          </m:r>
          <m:sSub>
            <m:e>
              <m:r>
                <m:t>g</m:t>
              </m:r>
            </m:e>
            <m:sub>
              <m:r>
                <m:t>y</m:t>
              </m:r>
            </m:sub>
          </m:sSub>
          <m:r>
            <m:t>) ∧ (</m:t>
          </m:r>
          <m:sSub>
            <m:e>
              <m:r>
                <m:t>u</m:t>
              </m:r>
            </m:e>
            <m:sub>
              <m:r>
                <m:t>x</m:t>
              </m:r>
            </m:sub>
          </m:sSub>
          <m:r>
            <m:t>≠</m:t>
          </m:r>
          <m:sSub>
            <m:e>
              <m:r>
                <m:t>u</m:t>
              </m:r>
            </m:e>
            <m:sub>
              <m:r>
                <m:t>y</m:t>
              </m:r>
            </m:sub>
          </m:sSub>
          <m:r>
            <m:t>) ∧ (S(x,y)≥</m:t>
          </m:r>
          <m:sSub>
            <m:e>
              <m:r>
                <m:t>θ</m:t>
              </m:r>
            </m:e>
            <m:sub>
              <m:r>
                <m:t>event</m:t>
              </m:r>
            </m:sub>
          </m:sSub>
          <m:r>
            <m:t>) ∧ (</m:t>
          </m:r>
          <m:sSub>
            <m:e>
              <m:r>
                <m:t>Δt</m:t>
              </m:r>
            </m:e>
            <m:sub>
              <m:r>
                <m:t>x,y</m:t>
              </m:r>
            </m:sub>
          </m:sSub>
          <m:r>
            <m:t>≤</m:t>
          </m:r>
          <m:sSub>
            <m:e>
              <m:r>
                <m:t>T</m:t>
              </m:r>
            </m:e>
            <m:sub>
              <m:r>
                <m:t>event</m:t>
              </m:r>
            </m:sub>
          </m:sSub>
          <m:r>
            <m:t>)</m:t>
          </m:r>
        </m:oMath>
      </m:oMathPara>
    </w:p>
    <w:p>
      <w:pPr>
        <w:spacing w:before="60" w:after="120"/>
        <w:jc w:val="center"/>
      </w:pPr>
      <m:oMathPara>
        <m:oMath>
          <m:r>
            <m:t>ParentEvent=1 ⇔ (</m:t>
          </m:r>
          <m:sSub>
            <m:e>
              <m:r>
                <m:t>N</m:t>
              </m:r>
            </m:e>
            <m:sub>
              <m:r>
                <m:t>user</m:t>
              </m:r>
            </m:sub>
          </m:sSub>
          <m:r>
            <m:t>≥2) ∧ (</m:t>
          </m:r>
          <m:sSub>
            <m:e>
              <m:r>
                <m:t>A</m:t>
              </m:r>
            </m:e>
            <m:sub>
              <m:r>
                <m:t>amb</m:t>
              </m:r>
            </m:sub>
          </m:sSub>
          <m:r>
            <m:t>=1) ∧ (</m:t>
          </m:r>
          <m:sSub>
            <m:e>
              <m:r>
                <m:t>S</m:t>
              </m:r>
            </m:e>
            <m:sub>
              <m:r>
                <m:t>avg</m:t>
              </m:r>
            </m:sub>
          </m:sSub>
          <m:r>
            <m:t>≥</m:t>
          </m:r>
          <m:sSub>
            <m:e>
              <m:r>
                <m:t>θ</m:t>
              </m:r>
            </m:e>
            <m:sub>
              <m:r>
                <m:t>event</m:t>
              </m:r>
            </m:sub>
          </m:sSub>
          <m:r>
            <m:t>) ∧ (</m:t>
          </m:r>
          <m:sSub>
            <m:e>
              <m:r>
                <m:t>T</m:t>
              </m:r>
            </m:e>
            <m:sub>
              <m:r>
                <m:t>duration</m:t>
              </m:r>
            </m:sub>
          </m:sSub>
          <m:r>
            <m:t>≤</m:t>
          </m:r>
          <m:sSub>
            <m:e>
              <m:r>
                <m:t>T</m:t>
              </m:r>
            </m:e>
            <m:sub>
              <m:r>
                <m:t>event</m:t>
              </m:r>
            </m:sub>
          </m:sSub>
          <m:r>
            <m:t>)</m:t>
          </m:r>
        </m:oMath>
      </m:oMathPara>
    </w:p>
    <w:p>
      <w:pPr>
        <w:spacing w:before="60" w:after="120"/>
        <w:jc w:val="center"/>
      </w:pPr>
      <m:oMathPara>
        <m:oMath>
          <m:r>
            <m:t>D(x)=first(</m:t>
          </m:r>
          <m:sSub>
            <m:e>
              <m:r>
                <m:t>D</m:t>
              </m:r>
            </m:e>
            <m:sub>
              <m:r>
                <m:t>slot</m:t>
              </m:r>
            </m:sub>
          </m:sSub>
          <m:r>
            <m:t>,</m:t>
          </m:r>
          <m:sSub>
            <m:e>
              <m:r>
                <m:t>D</m:t>
              </m:r>
            </m:e>
            <m:sub>
              <m:r>
                <m:t>intent</m:t>
              </m:r>
            </m:sub>
          </m:sSub>
          <m:r>
            <m:t>,</m:t>
          </m:r>
          <m:sSub>
            <m:e>
              <m:r>
                <m:t>D</m:t>
              </m:r>
            </m:e>
            <m:sub>
              <m:r>
                <m:t>default</m:t>
              </m:r>
            </m:sub>
          </m:sSub>
          <m:r>
            <m:t>)</m:t>
          </m:r>
        </m:oMath>
      </m:oMathPara>
    </w:p>
    <w:p>
      <w:pPr>
        <w:spacing w:before="60" w:after="120"/>
        <w:jc w:val="center"/>
      </w:pPr>
      <m:oMathPara>
        <m:oMath>
          <m:r>
            <m:t>Alarm(x)=1 ⇔ R(x)=0 ∧ now-</m:t>
          </m:r>
          <m:sSub>
            <m:e>
              <m:r>
                <m:t>t</m:t>
              </m:r>
            </m:e>
            <m:sub>
              <m:r>
                <m:t>x,first</m:t>
              </m:r>
            </m:sub>
          </m:sSub>
          <m:r>
            <m:t>≥</m:t>
          </m:r>
          <m:sSub>
            <m:e>
              <m:r>
                <m:t>T</m:t>
              </m:r>
            </m:e>
            <m:sub>
              <m:r>
                <m:t>light</m:t>
              </m:r>
            </m:sub>
          </m:sSub>
        </m:oMath>
      </m:oMathPara>
    </w:p>
    <w:p>
      <w:pPr>
        <w:spacing w:before="60" w:after="120"/>
        <w:jc w:val="center"/>
      </w:pPr>
      <m:oMathPara>
        <m:oMath>
          <m:r>
            <m:t>J=α·MissRate+β·DupRate+γ·(1-Accuracy)+δ·DelayRate</m:t>
          </m:r>
        </m:oMath>
      </m:oMathPara>
    </w:p>
    <w:p>
      <w:pPr>
        <w:spacing w:before="60" w:after="120"/>
        <w:jc w:val="center"/>
      </w:pPr>
      <m:oMathPara>
        <m:oMath>
          <m:r>
            <m:t>Accuracy=</m:t>
          </m:r>
          <m:f>
            <m:num>
              <m:sSub>
                <m:e>
                  <m:r>
                    <m:t>N</m:t>
                  </m:r>
                </m:e>
                <m:sub>
                  <m:r>
                    <m:t>correct</m:t>
                  </m:r>
                </m:sub>
              </m:sSub>
            </m:num>
            <m:den>
              <m:sSub>
                <m:e>
                  <m:r>
                    <m:t>N</m:t>
                  </m:r>
                </m:e>
                <m:sub>
                  <m:r>
                    <m:t>ticket</m:t>
                  </m:r>
                </m:sub>
              </m:sSub>
            </m:den>
          </m:f>
          <m:r>
            <m:t>，MissRate=</m:t>
          </m:r>
          <m:f>
            <m:num>
              <m:sSub>
                <m:e>
                  <m:r>
                    <m:t>N</m:t>
                  </m:r>
                </m:e>
                <m:sub>
                  <m:r>
                    <m:t>miss</m:t>
                  </m:r>
                </m:sub>
              </m:sSub>
            </m:num>
            <m:den>
              <m:sSub>
                <m:e>
                  <m:r>
                    <m:t>N</m:t>
                  </m:r>
                </m:e>
                <m:sub>
                  <m:r>
                    <m:t>need</m:t>
                  </m:r>
                </m:sub>
              </m:sSub>
            </m:den>
          </m:f>
          <m:r>
            <m:t>，DupRate=</m:t>
          </m:r>
          <m:f>
            <m:num>
              <m:sSub>
                <m:e>
                  <m:r>
                    <m:t>N</m:t>
                  </m:r>
                </m:e>
                <m:sub>
                  <m:r>
                    <m:t>dup</m:t>
                  </m:r>
                </m:sub>
              </m:sSub>
            </m:num>
            <m:den>
              <m:sSub>
                <m:e>
                  <m:r>
                    <m:t>N</m:t>
                  </m:r>
                </m:e>
                <m:sub>
                  <m:r>
                    <m:t>ticket</m:t>
                  </m:r>
                </m:sub>
              </m:sSub>
            </m:den>
          </m:f>
        </m:oMath>
      </m:oMathPara>
    </w:p>
    <w:p>
      <w:pPr>
        <w:spacing w:line="300" w:lineRule="auto"/>
        <w:ind w:firstLine="420"/>
      </w:pPr>
      <w:r>
        <w:rPr>
          <w:rFonts w:ascii="宋体" w:hAnsi="宋体" w:eastAsia="宋体"/>
          <w:b w:val="0"/>
        </w:rPr>
        <w:t>上述first函数表示按顺序选取第一个非空且满足权限、在线、负载和幂等发送约束的目标集合。若目标集合包含多人，则继续按技能匹配度、当前负载、最近处理时间和稳定哈希排序选择；若目标集合为空，则进入兜底队列或负责人升级队列。</w:t>
      </w:r>
    </w:p>
    <w:p>
      <w:pPr>
        <w:pStyle w:val="Heading1"/>
      </w:pPr>
      <w:r>
        <w:rPr>
          <w:rFonts w:ascii="黑体" w:hAnsi="黑体" w:eastAsia="黑体"/>
          <w:color w:val="000000"/>
        </w:rPr>
        <w:t>九、双阈值会话切分机制</w:t>
      </w:r>
    </w:p>
    <w:p>
      <w:pPr>
        <w:jc w:val="center"/>
      </w:pPr>
      <w:r>
        <w:drawing>
          <wp:inline xmlns:a="http://schemas.openxmlformats.org/drawingml/2006/main" xmlns:pic="http://schemas.openxmlformats.org/drawingml/2006/picture">
            <wp:extent cx="5852160" cy="2965094"/>
            <wp:docPr id="4" name="Picture 4"/>
            <wp:cNvGraphicFramePr>
              <a:graphicFrameLocks noChangeAspect="1"/>
            </wp:cNvGraphicFramePr>
            <a:graphic>
              <a:graphicData uri="http://schemas.openxmlformats.org/drawingml/2006/picture">
                <pic:pic>
                  <pic:nvPicPr>
                    <pic:cNvPr id="0" name="03_dual_threshold.jpg"/>
                    <pic:cNvPicPr/>
                  </pic:nvPicPr>
                  <pic:blipFill>
                    <a:blip r:embed="rId12"/>
                    <a:stretch>
                      <a:fillRect/>
                    </a:stretch>
                  </pic:blipFill>
                  <pic:spPr>
                    <a:xfrm>
                      <a:off x="0" y="0"/>
                      <a:ext cx="5852160" cy="2965094"/>
                    </a:xfrm>
                    <a:prstGeom prst="rect"/>
                  </pic:spPr>
                </pic:pic>
              </a:graphicData>
            </a:graphic>
          </wp:inline>
        </w:drawing>
      </w:r>
    </w:p>
    <w:p>
      <w:pPr>
        <w:jc w:val="center"/>
      </w:pPr>
      <w:r>
        <w:rPr>
          <w:rFonts w:ascii="宋体" w:hAnsi="宋体" w:eastAsia="宋体"/>
          <w:sz w:val="18"/>
        </w:rPr>
        <w:t>图4 双阈值会话切分示意图</w:t>
      </w:r>
    </w:p>
    <w:p>
      <w:pPr>
        <w:jc w:val="center"/>
      </w:pPr>
      <w:r>
        <w:drawing>
          <wp:inline xmlns:a="http://schemas.openxmlformats.org/drawingml/2006/main" xmlns:pic="http://schemas.openxmlformats.org/drawingml/2006/picture">
            <wp:extent cx="5852160" cy="2965094"/>
            <wp:docPr id="5" name="Picture 5"/>
            <wp:cNvGraphicFramePr>
              <a:graphicFrameLocks noChangeAspect="1"/>
            </wp:cNvGraphicFramePr>
            <a:graphic>
              <a:graphicData uri="http://schemas.openxmlformats.org/drawingml/2006/picture">
                <pic:pic>
                  <pic:nvPicPr>
                    <pic:cNvPr id="0" name="04_session_state.jpg"/>
                    <pic:cNvPicPr/>
                  </pic:nvPicPr>
                  <pic:blipFill>
                    <a:blip r:embed="rId13"/>
                    <a:stretch>
                      <a:fillRect/>
                    </a:stretch>
                  </pic:blipFill>
                  <pic:spPr>
                    <a:xfrm>
                      <a:off x="0" y="0"/>
                      <a:ext cx="5852160" cy="2965094"/>
                    </a:xfrm>
                    <a:prstGeom prst="rect"/>
                  </pic:spPr>
                </pic:pic>
              </a:graphicData>
            </a:graphic>
          </wp:inline>
        </w:drawing>
      </w:r>
    </w:p>
    <w:p>
      <w:pPr>
        <w:jc w:val="center"/>
      </w:pPr>
      <w:r>
        <w:rPr>
          <w:rFonts w:ascii="宋体" w:hAnsi="宋体" w:eastAsia="宋体"/>
          <w:sz w:val="18"/>
        </w:rPr>
        <w:t>图5 会话缓存状态机示意图</w:t>
      </w:r>
    </w:p>
    <w:p>
      <w:pPr>
        <w:spacing w:line="300" w:lineRule="auto"/>
        <w:ind w:firstLine="420"/>
      </w:pPr>
      <w:r>
        <w:rPr>
          <w:rFonts w:ascii="宋体" w:hAnsi="宋体" w:eastAsia="宋体"/>
          <w:b w:val="0"/>
        </w:rPr>
        <w:t>SessionBuffer以(group_id, customer_id)为主键建立。每收到一条客户消息，系统先判断消息是否已经处理，若message_id已存在则丢弃重复回调；若消息时间早于当前last_message_time但落入允许乱序窗口，则按send_time重新排序并更新版本；否则按到达顺序追加。</w:t>
      </w:r>
    </w:p>
    <w:p>
      <w:pPr>
        <w:spacing w:line="300" w:lineRule="auto"/>
        <w:ind w:firstLine="420"/>
      </w:pPr>
      <w:r>
        <w:rPr>
          <w:rFonts w:ascii="宋体" w:hAnsi="宋体" w:eastAsia="宋体"/>
          <w:b w:val="0"/>
        </w:rPr>
        <w:t>idle_timer在每次追加客户消息后重置，当当前时间与last_message_time之差达到T_gap时触发空闲闭合。duration_timer在首条消息进入缓存时启动，当当前时间与first_message_time之差达到T_duration时触发最长持续闭合。两个定时器任一触发时，闭合线程获取(group_id, customer_id, session_id)对应的分布式锁并校验version；校验成功后生成Task，校验失败则说明其他线程已处理或缓存已变化，当前闭合请求放弃。</w:t>
      </w:r>
    </w:p>
    <w:p>
      <w:pPr>
        <w:pStyle w:val="Heading1"/>
      </w:pPr>
      <w:r>
        <w:rPr>
          <w:rFonts w:ascii="黑体" w:hAnsi="黑体" w:eastAsia="黑体"/>
          <w:color w:val="000000"/>
        </w:rPr>
        <w:t>十、重复抑制与跨客户事件聚合</w:t>
      </w:r>
    </w:p>
    <w:p>
      <w:pPr>
        <w:jc w:val="center"/>
      </w:pPr>
      <w:r>
        <w:drawing>
          <wp:inline xmlns:a="http://schemas.openxmlformats.org/drawingml/2006/main" xmlns:pic="http://schemas.openxmlformats.org/drawingml/2006/picture">
            <wp:extent cx="5852160" cy="3355238"/>
            <wp:docPr id="6" name="Picture 6"/>
            <wp:cNvGraphicFramePr>
              <a:graphicFrameLocks noChangeAspect="1"/>
            </wp:cNvGraphicFramePr>
            <a:graphic>
              <a:graphicData uri="http://schemas.openxmlformats.org/drawingml/2006/picture">
                <pic:pic>
                  <pic:nvPicPr>
                    <pic:cNvPr id="0" name="05_dedup_event.jpg"/>
                    <pic:cNvPicPr/>
                  </pic:nvPicPr>
                  <pic:blipFill>
                    <a:blip r:embed="rId14"/>
                    <a:stretch>
                      <a:fillRect/>
                    </a:stretch>
                  </pic:blipFill>
                  <pic:spPr>
                    <a:xfrm>
                      <a:off x="0" y="0"/>
                      <a:ext cx="5852160" cy="3355238"/>
                    </a:xfrm>
                    <a:prstGeom prst="rect"/>
                  </pic:spPr>
                </pic:pic>
              </a:graphicData>
            </a:graphic>
          </wp:inline>
        </w:drawing>
      </w:r>
    </w:p>
    <w:p>
      <w:pPr>
        <w:jc w:val="center"/>
      </w:pPr>
      <w:r>
        <w:rPr>
          <w:rFonts w:ascii="宋体" w:hAnsi="宋体" w:eastAsia="宋体"/>
          <w:sz w:val="18"/>
        </w:rPr>
        <w:t>图6 重复抑制与事件聚合示意图</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
              <w:rPr>
                <w:rFonts w:ascii="宋体" w:hAnsi="宋体" w:eastAsia="宋体"/>
                <w:b/>
              </w:rPr>
              <w:t>机制</w:t>
            </w:r>
          </w:p>
        </w:tc>
        <w:tc>
          <w:tcPr>
            <w:tcW w:type="dxa" w:w="2448"/>
          </w:tcPr>
          <w:p>
            <w:r/>
            <w:r>
              <w:rPr>
                <w:rFonts w:ascii="宋体" w:hAnsi="宋体" w:eastAsia="宋体"/>
                <w:b/>
              </w:rPr>
              <w:t>对象范围</w:t>
            </w:r>
          </w:p>
        </w:tc>
        <w:tc>
          <w:tcPr>
            <w:tcW w:type="dxa" w:w="2448"/>
          </w:tcPr>
          <w:p>
            <w:r/>
            <w:r>
              <w:rPr>
                <w:rFonts w:ascii="宋体" w:hAnsi="宋体" w:eastAsia="宋体"/>
                <w:b/>
              </w:rPr>
              <w:t>判定条件</w:t>
            </w:r>
          </w:p>
        </w:tc>
        <w:tc>
          <w:tcPr>
            <w:tcW w:type="dxa" w:w="2448"/>
          </w:tcPr>
          <w:p>
            <w:r/>
            <w:r>
              <w:rPr>
                <w:rFonts w:ascii="宋体" w:hAnsi="宋体" w:eastAsia="宋体"/>
                <w:b/>
              </w:rPr>
              <w:t>输出结果</w:t>
            </w:r>
          </w:p>
        </w:tc>
      </w:tr>
      <w:tr>
        <w:tc>
          <w:tcPr>
            <w:tcW w:type="dxa" w:w="2448"/>
          </w:tcPr>
          <w:p>
            <w:r/>
            <w:r>
              <w:rPr>
                <w:rFonts w:ascii="宋体" w:hAnsi="宋体" w:eastAsia="宋体"/>
              </w:rPr>
              <w:t>同客户重复抑制</w:t>
            </w:r>
          </w:p>
        </w:tc>
        <w:tc>
          <w:tcPr>
            <w:tcW w:type="dxa" w:w="2448"/>
          </w:tcPr>
          <w:p>
            <w:r/>
            <w:r>
              <w:rPr>
                <w:rFonts w:ascii="宋体" w:hAnsi="宋体" w:eastAsia="宋体"/>
              </w:rPr>
              <w:t>同一group_id且同一customer_id</w:t>
            </w:r>
          </w:p>
        </w:tc>
        <w:tc>
          <w:tcPr>
            <w:tcW w:type="dxa" w:w="2448"/>
          </w:tcPr>
          <w:p>
            <w:r/>
            <w:r>
              <w:rPr>
                <w:rFonts w:ascii="宋体" w:hAnsi="宋体" w:eastAsia="宋体"/>
              </w:rPr>
              <w:t>T_dup窗口内意图相同或语义相似度不低于θ_dup</w:t>
            </w:r>
          </w:p>
        </w:tc>
        <w:tc>
          <w:tcPr>
            <w:tcW w:type="dxa" w:w="2448"/>
          </w:tcPr>
          <w:p>
            <w:r/>
            <w:r>
              <w:rPr>
                <w:rFonts w:ascii="宋体" w:hAnsi="宋体" w:eastAsia="宋体"/>
              </w:rPr>
              <w:t>不新建工单，将新消息追加到已有ticket并更新SLA</w:t>
            </w:r>
          </w:p>
        </w:tc>
      </w:tr>
      <w:tr>
        <w:tc>
          <w:tcPr>
            <w:tcW w:type="dxa" w:w="2448"/>
          </w:tcPr>
          <w:p>
            <w:r/>
            <w:r>
              <w:rPr>
                <w:rFonts w:ascii="宋体" w:hAnsi="宋体" w:eastAsia="宋体"/>
              </w:rPr>
              <w:t>跨客户事件聚合</w:t>
            </w:r>
          </w:p>
        </w:tc>
        <w:tc>
          <w:tcPr>
            <w:tcW w:type="dxa" w:w="2448"/>
          </w:tcPr>
          <w:p>
            <w:r/>
            <w:r>
              <w:rPr>
                <w:rFonts w:ascii="宋体" w:hAnsi="宋体" w:eastAsia="宋体"/>
              </w:rPr>
              <w:t>同一group_id但不同customer_id</w:t>
            </w:r>
          </w:p>
        </w:tc>
        <w:tc>
          <w:tcPr>
            <w:tcW w:type="dxa" w:w="2448"/>
          </w:tcPr>
          <w:p>
            <w:r/>
            <w:r>
              <w:rPr>
                <w:rFonts w:ascii="宋体" w:hAnsi="宋体" w:eastAsia="宋体"/>
              </w:rPr>
              <w:t>T_event窗口内事件指纹相同或平均相似度不低于θ_event，且N_user达到阈值</w:t>
            </w:r>
          </w:p>
        </w:tc>
        <w:tc>
          <w:tcPr>
            <w:tcW w:type="dxa" w:w="2448"/>
          </w:tcPr>
          <w:p>
            <w:r/>
            <w:r>
              <w:rPr>
                <w:rFonts w:ascii="宋体" w:hAnsi="宋体" w:eastAsia="宋体"/>
              </w:rPr>
              <w:t>生成或更新父事件任务，保留每个客户的子会话记录</w:t>
            </w:r>
          </w:p>
        </w:tc>
      </w:tr>
    </w:tbl>
    <w:p/>
    <w:p>
      <w:pPr>
        <w:spacing w:line="300" w:lineRule="auto"/>
        <w:ind w:firstLine="420"/>
      </w:pPr>
      <w:r>
        <w:rPr>
          <w:rFonts w:ascii="宋体" w:hAnsi="宋体" w:eastAsia="宋体"/>
          <w:b w:val="0"/>
        </w:rPr>
        <w:t>两种机制的目的不同：重复抑制避免同一客户反复催促造成重复工单；事件聚合避免公共事件被拆成多个无关联工单，但不会丢弃各客户的个体需求。父事件任务用于统一处理公共原因，子会话用于记录每个客户的具体诉求、附件、地址、权益状态和后续回复。</w:t>
      </w:r>
    </w:p>
    <w:p>
      <w:pPr>
        <w:pStyle w:val="Heading1"/>
      </w:pPr>
      <w:r>
        <w:rPr>
          <w:rFonts w:ascii="黑体" w:hAnsi="黑体" w:eastAsia="黑体"/>
          <w:color w:val="000000"/>
        </w:rPr>
        <w:t>十一、智能派发机制</w:t>
      </w:r>
    </w:p>
    <w:p>
      <w:pPr>
        <w:jc w:val="center"/>
      </w:pPr>
      <w:r>
        <w:drawing>
          <wp:inline xmlns:a="http://schemas.openxmlformats.org/drawingml/2006/main" xmlns:pic="http://schemas.openxmlformats.org/drawingml/2006/picture">
            <wp:extent cx="5852160" cy="3589325"/>
            <wp:docPr id="7" name="Picture 7"/>
            <wp:cNvGraphicFramePr>
              <a:graphicFrameLocks noChangeAspect="1"/>
            </wp:cNvGraphicFramePr>
            <a:graphic>
              <a:graphicData uri="http://schemas.openxmlformats.org/drawingml/2006/picture">
                <pic:pic>
                  <pic:nvPicPr>
                    <pic:cNvPr id="0" name="06_dispatch_decision.jpg"/>
                    <pic:cNvPicPr/>
                  </pic:nvPicPr>
                  <pic:blipFill>
                    <a:blip r:embed="rId15"/>
                    <a:stretch>
                      <a:fillRect/>
                    </a:stretch>
                  </pic:blipFill>
                  <pic:spPr>
                    <a:xfrm>
                      <a:off x="0" y="0"/>
                      <a:ext cx="5852160" cy="3589325"/>
                    </a:xfrm>
                    <a:prstGeom prst="rect"/>
                  </pic:spPr>
                </pic:pic>
              </a:graphicData>
            </a:graphic>
          </wp:inline>
        </w:drawing>
      </w:r>
    </w:p>
    <w:p>
      <w:pPr>
        <w:jc w:val="center"/>
      </w:pPr>
      <w:r>
        <w:rPr>
          <w:rFonts w:ascii="宋体" w:hAnsi="宋体" w:eastAsia="宋体"/>
          <w:sz w:val="18"/>
        </w:rPr>
        <w:t>图7 派发决策示意图</w:t>
      </w:r>
    </w:p>
    <w:p>
      <w:pPr>
        <w:spacing w:line="300" w:lineRule="auto"/>
        <w:ind w:firstLine="420"/>
      </w:pPr>
      <w:r>
        <w:rPr>
          <w:rFonts w:ascii="宋体" w:hAnsi="宋体" w:eastAsia="宋体"/>
          <w:b w:val="0"/>
        </w:rPr>
        <w:t>智能派发不是简单采用固定处理人，而是先按服务组织、群类型、意图类别、角色标签、技能标签、值班表、在线状态、权限范围和负载上限生成候选集。候选集为空时，系统将任务派发到兜底队列、值班负责人或人工分拣池；候选人离线或发送失败时，按幂等键记录失败并重试，不重复向同一目标发送。</w:t>
      </w:r>
    </w:p>
    <w:p>
      <w:pPr>
        <w:spacing w:line="300" w:lineRule="auto"/>
        <w:ind w:firstLine="420"/>
      </w:pPr>
      <w:r>
        <w:rPr>
          <w:rFonts w:ascii="宋体" w:hAnsi="宋体" w:eastAsia="宋体"/>
          <w:b w:val="0"/>
        </w:rPr>
        <w:t>在不需要复杂评分模型的实施例中，系统可采用约束过滤加多级优先级：第一优先级为时段目标D_slot，第二优先级为意图目标D_intent，第三优先级为默认目标D_default。若多个候选均满足条件，则按技能匹配数量、当前未完成任务数、最近分配时间和稳定哈希排序确定最终处理人。</w:t>
      </w:r>
    </w:p>
    <w:p>
      <w:pPr>
        <w:pStyle w:val="Heading1"/>
      </w:pPr>
      <w:r>
        <w:rPr>
          <w:rFonts w:ascii="黑体" w:hAnsi="黑体" w:eastAsia="黑体"/>
          <w:color w:val="000000"/>
        </w:rPr>
        <w:t>十二、响应监听与告警升级</w:t>
      </w:r>
    </w:p>
    <w:p>
      <w:pPr>
        <w:jc w:val="center"/>
      </w:pPr>
      <w:r>
        <w:drawing>
          <wp:inline xmlns:a="http://schemas.openxmlformats.org/drawingml/2006/main" xmlns:pic="http://schemas.openxmlformats.org/drawingml/2006/picture">
            <wp:extent cx="5852160" cy="2965094"/>
            <wp:docPr id="8" name="Picture 8"/>
            <wp:cNvGraphicFramePr>
              <a:graphicFrameLocks noChangeAspect="1"/>
            </wp:cNvGraphicFramePr>
            <a:graphic>
              <a:graphicData uri="http://schemas.openxmlformats.org/drawingml/2006/picture">
                <pic:pic>
                  <pic:nvPicPr>
                    <pic:cNvPr id="0" name="07_alarm_state.jpg"/>
                    <pic:cNvPicPr/>
                  </pic:nvPicPr>
                  <pic:blipFill>
                    <a:blip r:embed="rId16"/>
                    <a:stretch>
                      <a:fillRect/>
                    </a:stretch>
                  </pic:blipFill>
                  <pic:spPr>
                    <a:xfrm>
                      <a:off x="0" y="0"/>
                      <a:ext cx="5852160" cy="2965094"/>
                    </a:xfrm>
                    <a:prstGeom prst="rect"/>
                  </pic:spPr>
                </pic:pic>
              </a:graphicData>
            </a:graphic>
          </wp:inline>
        </w:drawing>
      </w:r>
    </w:p>
    <w:p>
      <w:pPr>
        <w:jc w:val="center"/>
      </w:pPr>
      <w:r>
        <w:rPr>
          <w:rFonts w:ascii="宋体" w:hAnsi="宋体" w:eastAsia="宋体"/>
          <w:sz w:val="18"/>
        </w:rPr>
        <w:t>图8 响应监听状态示意图</w:t>
      </w:r>
    </w:p>
    <w:p>
      <w:pPr>
        <w:spacing w:line="300" w:lineRule="auto"/>
        <w:ind w:firstLine="420"/>
      </w:pPr>
      <w:r>
        <w:rPr>
          <w:rFonts w:ascii="宋体" w:hAnsi="宋体" w:eastAsia="宋体"/>
          <w:b w:val="0"/>
        </w:rPr>
        <w:t>派发开关和监控开关相互解耦。对于dispatchable_flag为false但monitor_flag为true的任务，系统不生成外部工单，但仍监听群内是否出现员工有效回复。有效回复R(x)=1可以由员工身份、回复引用、@客户、语义关联和时间窗口共同判定。</w:t>
      </w:r>
    </w:p>
    <w:p>
      <w:pPr>
        <w:spacing w:line="300" w:lineRule="auto"/>
        <w:ind w:firstLine="420"/>
      </w:pPr>
      <w:r>
        <w:rPr>
          <w:rFonts w:ascii="宋体" w:hAnsi="宋体" w:eastAsia="宋体"/>
          <w:b w:val="0"/>
        </w:rPr>
        <w:t>当R(x)=0且等待时长达到T_light时，系统触发轻度超时提醒；达到T_severe时，系统触发严重超时并升级负责人。对投诉、退款、合同风险、舆情、监管投诉等高风险意图，即使未达到T_severe，也可直接触发意图告警。</w:t>
      </w:r>
    </w:p>
    <w:p>
      <w:pPr>
        <w:pStyle w:val="Heading1"/>
      </w:pPr>
      <w:r>
        <w:rPr>
          <w:rFonts w:ascii="黑体" w:hAnsi="黑体" w:eastAsia="黑体"/>
          <w:color w:val="000000"/>
        </w:rPr>
        <w:t>十三、质量反馈与策略版本更新</w:t>
      </w:r>
    </w:p>
    <w:p>
      <w:pPr>
        <w:jc w:val="center"/>
      </w:pPr>
      <w:r>
        <w:drawing>
          <wp:inline xmlns:a="http://schemas.openxmlformats.org/drawingml/2006/main" xmlns:pic="http://schemas.openxmlformats.org/drawingml/2006/picture">
            <wp:extent cx="5852160" cy="3199181"/>
            <wp:docPr id="9" name="Picture 9"/>
            <wp:cNvGraphicFramePr>
              <a:graphicFrameLocks noChangeAspect="1"/>
            </wp:cNvGraphicFramePr>
            <a:graphic>
              <a:graphicData uri="http://schemas.openxmlformats.org/drawingml/2006/picture">
                <pic:pic>
                  <pic:nvPicPr>
                    <pic:cNvPr id="0" name="08_feedback_tuning.jpg"/>
                    <pic:cNvPicPr/>
                  </pic:nvPicPr>
                  <pic:blipFill>
                    <a:blip r:embed="rId17"/>
                    <a:stretch>
                      <a:fillRect/>
                    </a:stretch>
                  </pic:blipFill>
                  <pic:spPr>
                    <a:xfrm>
                      <a:off x="0" y="0"/>
                      <a:ext cx="5852160" cy="3199181"/>
                    </a:xfrm>
                    <a:prstGeom prst="rect"/>
                  </pic:spPr>
                </pic:pic>
              </a:graphicData>
            </a:graphic>
          </wp:inline>
        </w:drawing>
      </w:r>
    </w:p>
    <w:p>
      <w:pPr>
        <w:jc w:val="center"/>
      </w:pPr>
      <w:r>
        <w:rPr>
          <w:rFonts w:ascii="宋体" w:hAnsi="宋体" w:eastAsia="宋体"/>
          <w:sz w:val="18"/>
        </w:rPr>
        <w:t>图9 反馈调参与策略版本示意图</w:t>
      </w:r>
    </w:p>
    <w:p>
      <w:pPr>
        <w:spacing w:line="300" w:lineRule="auto"/>
        <w:ind w:firstLine="420"/>
      </w:pPr>
      <w:r>
        <w:rPr>
          <w:rFonts w:ascii="宋体" w:hAnsi="宋体" w:eastAsia="宋体"/>
          <w:b w:val="0"/>
        </w:rPr>
        <w:t>系统按日、周或预设样本窗口抽取任务、消息、工单和回复记录，由人工复核或抽样标注生成ReviewRecord。指标计算模块统计Accuracy、MissRate、DupRate和DelayRate，并在候选参数集合中评估目标函数J。候选参数包括T_gap、T_duration、T_dup、T_event、θ_dup、θ_event、轻重超时阈值、兜底目标和高风险意图列表。</w:t>
      </w:r>
    </w:p>
    <w:p>
      <w:pPr>
        <w:spacing w:line="300" w:lineRule="auto"/>
        <w:ind w:firstLine="420"/>
      </w:pPr>
      <w:r>
        <w:rPr>
          <w:rFonts w:ascii="宋体" w:hAnsi="宋体" w:eastAsia="宋体"/>
          <w:b w:val="0"/>
        </w:rPr>
        <w:t>策略版本发布时记录version_id、scope、publish_time、approval_status和rollback_version。对影响面较大的策略，系统先在指定群类型或指定服务组织内灰度发布，并比较发布前后指标。若J恶化超过阈值或人工确认误伤增加，则自动或人工回滚到上一版本。</w:t>
      </w:r>
    </w:p>
    <w:p>
      <w:pPr>
        <w:pStyle w:val="Heading1"/>
      </w:pPr>
      <w:r>
        <w:rPr>
          <w:rFonts w:ascii="黑体" w:hAnsi="黑体" w:eastAsia="黑体"/>
          <w:color w:val="000000"/>
        </w:rPr>
        <w:t>十四、具体实施例</w:t>
      </w:r>
    </w:p>
    <w:p>
      <w:pPr>
        <w:spacing w:line="300" w:lineRule="auto"/>
        <w:ind w:firstLine="420"/>
      </w:pPr>
      <w:r>
        <w:rPr>
          <w:rFonts w:ascii="宋体" w:hAnsi="宋体" w:eastAsia="宋体"/>
          <w:b w:val="0"/>
        </w:rPr>
        <w:t>实施例一：同客户连续消息。客户A在群G1于09:00发送“空调不制冷”，09:01补充图片，09:03发送“昨晚开始的”。系统将三条消息写入SessionBuffer(G1,A)，message_id_list为[m1,m2,m3]。09:08达到T_gap=300秒，系统获取锁并生成任务x，normalized_content包含故障描述、图片引用和发生时间，intent_category为维修，intent_confidence为0.91。派发模块根据群类型为区域售后群、意图为维修、当前时段为工作日白班，选择维修坐席B并启动SLA监听。</w:t>
      </w:r>
    </w:p>
    <w:p>
      <w:pPr>
        <w:spacing w:line="300" w:lineRule="auto"/>
        <w:ind w:firstLine="420"/>
      </w:pPr>
      <w:r>
        <w:rPr>
          <w:rFonts w:ascii="宋体" w:hAnsi="宋体" w:eastAsia="宋体"/>
          <w:b w:val="0"/>
        </w:rPr>
        <w:t>实施例二：同客户重复诉求。客户A在09:20再次发送“还没人联系我，空调还是坏的”。系统生成新任务x2后，在T_dup=1800秒窗口内查到同客户已有维修工单y，且S(x2,y)=0.86≥θ_dup=0.78，于是不新建工单，而是将新消息追加到y，更新last_customer_message_time和SLA提醒等级。</w:t>
      </w:r>
    </w:p>
    <w:p>
      <w:pPr>
        <w:spacing w:line="300" w:lineRule="auto"/>
        <w:ind w:firstLine="420"/>
      </w:pPr>
      <w:r>
        <w:rPr>
          <w:rFonts w:ascii="宋体" w:hAnsi="宋体" w:eastAsia="宋体"/>
          <w:b w:val="0"/>
        </w:rPr>
        <w:t>实施例三：跨客户公共事件。客户A、客户C、客户D在同一区域群内于10分钟内分别发送“门店系统打不开”“收银后台登不上”“今天后台一直报错”。三条任务的客户不同，但事件指纹均指向系统登录异常，平均相似度0.82≥θ_event=0.75，系统生成父事件任务event_1，并保留三个子会话，避免公共事件多头处理，同时保留各门店的具体影响范围。</w:t>
      </w:r>
    </w:p>
    <w:p>
      <w:pPr>
        <w:spacing w:line="300" w:lineRule="auto"/>
        <w:ind w:firstLine="420"/>
      </w:pPr>
      <w:r>
        <w:rPr>
          <w:rFonts w:ascii="宋体" w:hAnsi="宋体" w:eastAsia="宋体"/>
          <w:b w:val="0"/>
        </w:rPr>
        <w:t>实施例四：异常处理。图片识别失败时，系统保留media_reference并将format_status置为media_pending；语音无法转写时，任务进入人工补录队列；意图置信度低于阈值时，进入兜底意图并标记review_required；无候选处理人时，进入兜底队列并通知负责人；群内只有机器人回复时不记为R(x)=1；非工作时间可触发自动安抚回复但继续监听人工响应；乱序或重复消息通过message_id、send_time和version校验处理。</w:t>
      </w:r>
    </w:p>
    <w:p>
      <w:pPr>
        <w:pStyle w:val="Heading1"/>
      </w:pPr>
      <w:r>
        <w:rPr>
          <w:rFonts w:ascii="黑体" w:hAnsi="黑体" w:eastAsia="黑体"/>
          <w:color w:val="000000"/>
        </w:rPr>
        <w:t>十五、测试数据与效果说明</w:t>
      </w:r>
    </w:p>
    <w:p>
      <w:pPr>
        <w:spacing w:line="300" w:lineRule="auto"/>
        <w:ind w:firstLine="420"/>
      </w:pPr>
      <w:r>
        <w:rPr>
          <w:rFonts w:ascii="宋体" w:hAnsi="宋体" w:eastAsia="宋体"/>
          <w:b w:val="0"/>
        </w:rPr>
        <w:t>在一个测试样本中，选取若干客户群连续消息作为回放数据，比较人工处理、逐条消息建单和本方案三种方式。为避免绝对化表述，本文仅表述为“在该测试样本中未观察到漏单”，不宣称任何场景下漏单率恒为0。</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
              <w:rPr>
                <w:rFonts w:ascii="宋体" w:hAnsi="宋体" w:eastAsia="宋体"/>
                <w:b/>
              </w:rPr>
              <w:t>指标</w:t>
            </w:r>
          </w:p>
        </w:tc>
        <w:tc>
          <w:tcPr>
            <w:tcW w:type="dxa" w:w="2448"/>
          </w:tcPr>
          <w:p>
            <w:r/>
            <w:r>
              <w:rPr>
                <w:rFonts w:ascii="宋体" w:hAnsi="宋体" w:eastAsia="宋体"/>
                <w:b/>
              </w:rPr>
              <w:t>人工/逐条基线</w:t>
            </w:r>
          </w:p>
        </w:tc>
        <w:tc>
          <w:tcPr>
            <w:tcW w:type="dxa" w:w="2448"/>
          </w:tcPr>
          <w:p>
            <w:r/>
            <w:r>
              <w:rPr>
                <w:rFonts w:ascii="宋体" w:hAnsi="宋体" w:eastAsia="宋体"/>
                <w:b/>
              </w:rPr>
              <w:t>本方案样本结果</w:t>
            </w:r>
          </w:p>
        </w:tc>
        <w:tc>
          <w:tcPr>
            <w:tcW w:type="dxa" w:w="2448"/>
          </w:tcPr>
          <w:p>
            <w:r/>
            <w:r>
              <w:rPr>
                <w:rFonts w:ascii="宋体" w:hAnsi="宋体" w:eastAsia="宋体"/>
                <w:b/>
              </w:rPr>
              <w:t>说明</w:t>
            </w:r>
          </w:p>
        </w:tc>
      </w:tr>
      <w:tr>
        <w:tc>
          <w:tcPr>
            <w:tcW w:type="dxa" w:w="2448"/>
          </w:tcPr>
          <w:p>
            <w:r/>
            <w:r>
              <w:rPr>
                <w:rFonts w:ascii="宋体" w:hAnsi="宋体" w:eastAsia="宋体"/>
              </w:rPr>
              <w:t>任务准确率</w:t>
            </w:r>
          </w:p>
        </w:tc>
        <w:tc>
          <w:tcPr>
            <w:tcW w:type="dxa" w:w="2448"/>
          </w:tcPr>
          <w:p>
            <w:r/>
            <w:r>
              <w:rPr>
                <w:rFonts w:ascii="宋体" w:hAnsi="宋体" w:eastAsia="宋体"/>
              </w:rPr>
              <w:t>依赖人工经验，波动较大</w:t>
            </w:r>
          </w:p>
        </w:tc>
        <w:tc>
          <w:tcPr>
            <w:tcW w:type="dxa" w:w="2448"/>
          </w:tcPr>
          <w:p>
            <w:r/>
            <w:r>
              <w:rPr>
                <w:rFonts w:ascii="宋体" w:hAnsi="宋体" w:eastAsia="宋体"/>
              </w:rPr>
              <w:t>样本中达到90%以上</w:t>
            </w:r>
          </w:p>
        </w:tc>
        <w:tc>
          <w:tcPr>
            <w:tcW w:type="dxa" w:w="2448"/>
          </w:tcPr>
          <w:p>
            <w:r/>
            <w:r>
              <w:rPr>
                <w:rFonts w:ascii="宋体" w:hAnsi="宋体" w:eastAsia="宋体"/>
              </w:rPr>
              <w:t>按人工复核正确任务数/任务总数统计</w:t>
            </w:r>
          </w:p>
        </w:tc>
      </w:tr>
      <w:tr>
        <w:tc>
          <w:tcPr>
            <w:tcW w:type="dxa" w:w="2448"/>
          </w:tcPr>
          <w:p>
            <w:r/>
            <w:r>
              <w:rPr>
                <w:rFonts w:ascii="宋体" w:hAnsi="宋体" w:eastAsia="宋体"/>
              </w:rPr>
              <w:t>漏单情况</w:t>
            </w:r>
          </w:p>
        </w:tc>
        <w:tc>
          <w:tcPr>
            <w:tcW w:type="dxa" w:w="2448"/>
          </w:tcPr>
          <w:p>
            <w:r/>
            <w:r>
              <w:rPr>
                <w:rFonts w:ascii="宋体" w:hAnsi="宋体" w:eastAsia="宋体"/>
              </w:rPr>
              <w:t>多条补充消息和图片消息易漏</w:t>
            </w:r>
          </w:p>
        </w:tc>
        <w:tc>
          <w:tcPr>
            <w:tcW w:type="dxa" w:w="2448"/>
          </w:tcPr>
          <w:p>
            <w:r/>
            <w:r>
              <w:rPr>
                <w:rFonts w:ascii="宋体" w:hAnsi="宋体" w:eastAsia="宋体"/>
              </w:rPr>
              <w:t>样本中未观察到漏单</w:t>
            </w:r>
          </w:p>
        </w:tc>
        <w:tc>
          <w:tcPr>
            <w:tcW w:type="dxa" w:w="2448"/>
          </w:tcPr>
          <w:p>
            <w:r/>
            <w:r>
              <w:rPr>
                <w:rFonts w:ascii="宋体" w:hAnsi="宋体" w:eastAsia="宋体"/>
              </w:rPr>
              <w:t>按应建单需求数和漏单数统计</w:t>
            </w:r>
          </w:p>
        </w:tc>
      </w:tr>
      <w:tr>
        <w:tc>
          <w:tcPr>
            <w:tcW w:type="dxa" w:w="2448"/>
          </w:tcPr>
          <w:p>
            <w:r/>
            <w:r>
              <w:rPr>
                <w:rFonts w:ascii="宋体" w:hAnsi="宋体" w:eastAsia="宋体"/>
              </w:rPr>
              <w:t>重复派发</w:t>
            </w:r>
          </w:p>
        </w:tc>
        <w:tc>
          <w:tcPr>
            <w:tcW w:type="dxa" w:w="2448"/>
          </w:tcPr>
          <w:p>
            <w:r/>
            <w:r>
              <w:rPr>
                <w:rFonts w:ascii="宋体" w:hAnsi="宋体" w:eastAsia="宋体"/>
              </w:rPr>
              <w:t>同客户催促可能重复建单</w:t>
            </w:r>
          </w:p>
        </w:tc>
        <w:tc>
          <w:tcPr>
            <w:tcW w:type="dxa" w:w="2448"/>
          </w:tcPr>
          <w:p>
            <w:r/>
            <w:r>
              <w:rPr>
                <w:rFonts w:ascii="宋体" w:hAnsi="宋体" w:eastAsia="宋体"/>
              </w:rPr>
              <w:t>重复任务显著减少</w:t>
            </w:r>
          </w:p>
        </w:tc>
        <w:tc>
          <w:tcPr>
            <w:tcW w:type="dxa" w:w="2448"/>
          </w:tcPr>
          <w:p>
            <w:r/>
            <w:r>
              <w:rPr>
                <w:rFonts w:ascii="宋体" w:hAnsi="宋体" w:eastAsia="宋体"/>
              </w:rPr>
              <w:t>同客户重复抑制窗口内合并</w:t>
            </w:r>
          </w:p>
        </w:tc>
      </w:tr>
      <w:tr>
        <w:tc>
          <w:tcPr>
            <w:tcW w:type="dxa" w:w="2448"/>
          </w:tcPr>
          <w:p>
            <w:r/>
            <w:r>
              <w:rPr>
                <w:rFonts w:ascii="宋体" w:hAnsi="宋体" w:eastAsia="宋体"/>
              </w:rPr>
              <w:t>多客户公共事件</w:t>
            </w:r>
          </w:p>
        </w:tc>
        <w:tc>
          <w:tcPr>
            <w:tcW w:type="dxa" w:w="2448"/>
          </w:tcPr>
          <w:p>
            <w:r/>
            <w:r>
              <w:rPr>
                <w:rFonts w:ascii="宋体" w:hAnsi="宋体" w:eastAsia="宋体"/>
              </w:rPr>
              <w:t>容易形成多个孤立工单</w:t>
            </w:r>
          </w:p>
        </w:tc>
        <w:tc>
          <w:tcPr>
            <w:tcW w:type="dxa" w:w="2448"/>
          </w:tcPr>
          <w:p>
            <w:r/>
            <w:r>
              <w:rPr>
                <w:rFonts w:ascii="宋体" w:hAnsi="宋体" w:eastAsia="宋体"/>
              </w:rPr>
              <w:t>形成父事件和子会话</w:t>
            </w:r>
          </w:p>
        </w:tc>
        <w:tc>
          <w:tcPr>
            <w:tcW w:type="dxa" w:w="2448"/>
          </w:tcPr>
          <w:p>
            <w:r/>
            <w:r>
              <w:rPr>
                <w:rFonts w:ascii="宋体" w:hAnsi="宋体" w:eastAsia="宋体"/>
              </w:rPr>
              <w:t>公共原因统一处理，个体需求保留</w:t>
            </w:r>
          </w:p>
        </w:tc>
      </w:tr>
      <w:tr>
        <w:tc>
          <w:tcPr>
            <w:tcW w:type="dxa" w:w="2448"/>
          </w:tcPr>
          <w:p>
            <w:r/>
            <w:r>
              <w:rPr>
                <w:rFonts w:ascii="宋体" w:hAnsi="宋体" w:eastAsia="宋体"/>
              </w:rPr>
              <w:t>响应延迟</w:t>
            </w:r>
          </w:p>
        </w:tc>
        <w:tc>
          <w:tcPr>
            <w:tcW w:type="dxa" w:w="2448"/>
          </w:tcPr>
          <w:p>
            <w:r/>
            <w:r>
              <w:rPr>
                <w:rFonts w:ascii="宋体" w:hAnsi="宋体" w:eastAsia="宋体"/>
              </w:rPr>
              <w:t>依赖人工盯群</w:t>
            </w:r>
          </w:p>
        </w:tc>
        <w:tc>
          <w:tcPr>
            <w:tcW w:type="dxa" w:w="2448"/>
          </w:tcPr>
          <w:p>
            <w:r/>
            <w:r>
              <w:rPr>
                <w:rFonts w:ascii="宋体" w:hAnsi="宋体" w:eastAsia="宋体"/>
              </w:rPr>
              <w:t>可触发轻重超时告警</w:t>
            </w:r>
          </w:p>
        </w:tc>
        <w:tc>
          <w:tcPr>
            <w:tcW w:type="dxa" w:w="2448"/>
          </w:tcPr>
          <w:p>
            <w:r/>
            <w:r>
              <w:rPr>
                <w:rFonts w:ascii="宋体" w:hAnsi="宋体" w:eastAsia="宋体"/>
              </w:rPr>
              <w:t>按首条待响应时间到有效回复时间统计</w:t>
            </w:r>
          </w:p>
        </w:tc>
      </w:tr>
    </w:tbl>
    <w:p/>
    <w:p>
      <w:pPr>
        <w:pStyle w:val="Heading1"/>
      </w:pPr>
      <w:r>
        <w:rPr>
          <w:rFonts w:ascii="黑体" w:hAnsi="黑体" w:eastAsia="黑体"/>
          <w:color w:val="000000"/>
        </w:rPr>
        <w:t>十六、保护重点与可扩展权利要求方向</w:t>
      </w:r>
    </w:p>
    <w:p>
      <w:pPr>
        <w:spacing w:line="300" w:lineRule="auto"/>
        <w:ind w:firstLine="420"/>
      </w:pPr>
      <w:r>
        <w:rPr>
          <w:rFonts w:ascii="宋体" w:hAnsi="宋体" w:eastAsia="宋体"/>
          <w:b w:val="0"/>
        </w:rPr>
        <w:t>建议主权利要求收窄到如下连续技术链路：获取企业即时通信客户群消息；按群标识和客户标识维护状态化会话缓存；基于空闲阈值和最长持续阈值进行双阈值闭合；生成标准化会话任务；对同客户重复诉求执行抑制合并，对跨客户同事件执行事件聚合；根据候选处理人约束过滤和多级优先级执行派发；独立进行响应监听和质量反馈。</w:t>
      </w:r>
    </w:p>
    <w:p>
      <w:pPr>
        <w:spacing w:line="288" w:lineRule="auto"/>
        <w:ind w:left="360" w:hanging="360"/>
      </w:pPr>
      <w:r>
        <w:rPr>
          <w:rFonts w:ascii="宋体" w:hAnsi="宋体" w:eastAsia="宋体"/>
        </w:rPr>
        <w:t>（1）从属方向一：SessionBuffer字段、定时器、分布式锁和版本校验。</w:t>
      </w:r>
    </w:p>
    <w:p>
      <w:pPr>
        <w:spacing w:line="288" w:lineRule="auto"/>
        <w:ind w:left="360" w:hanging="360"/>
      </w:pPr>
      <w:r>
        <w:rPr>
          <w:rFonts w:ascii="宋体" w:hAnsi="宋体" w:eastAsia="宋体"/>
        </w:rPr>
        <w:t>（2）从属方向二：同客户重复抑制和跨客户事件聚合的不同窗口、相似度阈值和输出对象。</w:t>
      </w:r>
    </w:p>
    <w:p>
      <w:pPr>
        <w:spacing w:line="288" w:lineRule="auto"/>
        <w:ind w:left="360" w:hanging="360"/>
      </w:pPr>
      <w:r>
        <w:rPr>
          <w:rFonts w:ascii="宋体" w:hAnsi="宋体" w:eastAsia="宋体"/>
        </w:rPr>
        <w:t>（3）从属方向三：群类型、意图、时段、技能、在线状态、权限和负载上限联合派发。</w:t>
      </w:r>
    </w:p>
    <w:p>
      <w:pPr>
        <w:spacing w:line="288" w:lineRule="auto"/>
        <w:ind w:left="360" w:hanging="360"/>
      </w:pPr>
      <w:r>
        <w:rPr>
          <w:rFonts w:ascii="宋体" w:hAnsi="宋体" w:eastAsia="宋体"/>
        </w:rPr>
        <w:t>（4）从属方向四：派发开关与监控开关解耦、轻重超时和高风险意图告警。</w:t>
      </w:r>
    </w:p>
    <w:p>
      <w:pPr>
        <w:spacing w:line="288" w:lineRule="auto"/>
        <w:ind w:left="360" w:hanging="360"/>
      </w:pPr>
      <w:r>
        <w:rPr>
          <w:rFonts w:ascii="宋体" w:hAnsi="宋体" w:eastAsia="宋体"/>
        </w:rPr>
        <w:t>（5）从属方向五：基于J函数的参数评估、策略版本、灰度发布和回滚。</w:t>
      </w:r>
    </w:p>
    <w:p>
      <w:pPr>
        <w:pStyle w:val="Heading1"/>
      </w:pPr>
      <w:r>
        <w:rPr>
          <w:rFonts w:ascii="黑体" w:hAnsi="黑体" w:eastAsia="黑体"/>
          <w:color w:val="000000"/>
        </w:rPr>
        <w:t>十七、可替代实施方式</w:t>
      </w:r>
    </w:p>
    <w:p>
      <w:pPr>
        <w:spacing w:line="300" w:lineRule="auto"/>
        <w:ind w:firstLine="420"/>
      </w:pPr>
      <w:r>
        <w:rPr>
          <w:rFonts w:ascii="宋体" w:hAnsi="宋体" w:eastAsia="宋体"/>
          <w:b w:val="0"/>
        </w:rPr>
        <w:t>相似度S(x,y)可采用关键词规则、向量相似度、事件指纹匹配或多模型加权方式实现；意图识别可采用规则模型、分类模型、生成式模型或人工兜底方式实现；派发目标可以是个人、角色组、值班队列或外部工单系统。上述替代方式只要仍然执行状态化会话切分、重复/聚合分离、候选派发和监控反馈链路，均应落入本方案的技术构思范围。</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