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06DE6"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XXX视触融合双臂挑战赛</w:t>
      </w:r>
    </w:p>
    <w:p w14:paraId="1A54DCE9"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7F275D9E">
          <v:rect id="_x0000_i1282" style="width:0;height:1.5pt" o:hralign="center" o:hrstd="t" o:hr="t" fillcolor="#a0a0a0" stroked="f"/>
        </w:pict>
      </w:r>
    </w:p>
    <w:p w14:paraId="44AB8DA4"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一、赛项简介</w:t>
      </w:r>
    </w:p>
    <w:p w14:paraId="0465B2DC"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（一）赛项背景</w:t>
      </w:r>
      <w:r w:rsidRPr="00DE3204">
        <w:rPr>
          <w:rFonts w:ascii="宋体" w:eastAsia="宋体" w:hAnsi="宋体" w:cs="宋体"/>
          <w:kern w:val="0"/>
          <w:sz w:val="24"/>
          <w:szCs w:val="24"/>
        </w:rPr>
        <w:br/>
        <w:t>近年来，具身智能与机器人从“看得见”向“摸得懂”快速演进。仅依赖视觉的单模态系统在应对复杂接触、遮挡、柔性物体和高精度装配时，往往难以获得稳定、可泛化的操作能力。触觉作为直接反映接触力、接触形态和摩擦状态的关键模态，被普遍认为是突破复杂抓取与操控瓶颈的重要方向。然而，在真实应用中，如何在双臂场景下有效融合视觉与触觉信息，并将其转化为可靠的操作策略，仍然缺乏可对比、可复现的系统性评测平台。</w:t>
      </w:r>
    </w:p>
    <w:p w14:paraId="4C8B5313"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本赛项面向这一前沿需求，聚焦“视觉–触觉融合的双臂操作能力”。参赛队需构建具备多模态感知能力的双臂机器人系统，在精细装配、柔性物体操作等代表性任务中，充分利用视觉与触觉信息完成高难度双臂协作操作。通过统一的任务场景、评价指标和比赛规则，本赛项旨在推动视觉–触觉融合感知、双臂协同控制及从示教学习等关键技术的落地与对比，促进科研团队与产业伙伴在触觉感知硬件、感知融合算法与具身智能应用方面的交流与合作，加速具身智能技术在现实场景中的应用落地。</w:t>
      </w:r>
    </w:p>
    <w:p w14:paraId="17FEDFBD"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本赛项将提供一套基于 UMI 思想的“无机器人本体（robot-free）数据采集”开源方案，包括数据采集硬件参考设计与训练代码，鼓励参赛队在赛前利用该方案完成数据采集与策略训练。</w:t>
      </w:r>
    </w:p>
    <w:p w14:paraId="27DA155A"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（二）赛项定位与目标</w:t>
      </w:r>
    </w:p>
    <w:p w14:paraId="7471E04E" w14:textId="77777777" w:rsidR="00DE3204" w:rsidRPr="00DE3204" w:rsidRDefault="00DE3204" w:rsidP="009C37C1">
      <w:pPr>
        <w:widowControl/>
        <w:numPr>
          <w:ilvl w:val="0"/>
          <w:numId w:val="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面向的应用方向</w:t>
      </w:r>
      <w:r w:rsidRPr="00DE3204">
        <w:rPr>
          <w:rFonts w:ascii="宋体" w:eastAsia="宋体" w:hAnsi="宋体" w:cs="宋体"/>
          <w:kern w:val="0"/>
          <w:sz w:val="24"/>
          <w:szCs w:val="24"/>
        </w:rPr>
        <w:br/>
        <w:t>面向以工业精细装配、柔性物体整理与服务场景操作为代表的复杂接触任务，兼顾未来在先进制造、智能物流和服务机器人等场景中的扩展应用。</w:t>
      </w:r>
    </w:p>
    <w:p w14:paraId="4FB6FC88" w14:textId="77777777" w:rsidR="00DE3204" w:rsidRPr="00DE3204" w:rsidRDefault="00DE3204" w:rsidP="009C37C1">
      <w:pPr>
        <w:widowControl/>
        <w:numPr>
          <w:ilvl w:val="0"/>
          <w:numId w:val="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希望考察的能力</w:t>
      </w:r>
      <w:r w:rsidRPr="00DE3204">
        <w:rPr>
          <w:rFonts w:ascii="宋体" w:eastAsia="宋体" w:hAnsi="宋体" w:cs="宋体"/>
          <w:kern w:val="0"/>
          <w:sz w:val="24"/>
          <w:szCs w:val="24"/>
        </w:rPr>
        <w:br/>
        <w:t>（1）双臂协作规划与控制能力：在受限空间内完成多接触、多约束、双臂协调操作的能力。</w:t>
      </w:r>
      <w:r w:rsidRPr="00DE3204">
        <w:rPr>
          <w:rFonts w:ascii="宋体" w:eastAsia="宋体" w:hAnsi="宋体" w:cs="宋体"/>
          <w:kern w:val="0"/>
          <w:sz w:val="24"/>
          <w:szCs w:val="24"/>
        </w:rPr>
        <w:br/>
        <w:t>（2）从示教数据中学习策略的能力：利用遥操作或示教数据进行策略学习、泛化和重现的能力。</w:t>
      </w:r>
      <w:r w:rsidRPr="00DE3204">
        <w:rPr>
          <w:rFonts w:ascii="宋体" w:eastAsia="宋体" w:hAnsi="宋体" w:cs="宋体"/>
          <w:kern w:val="0"/>
          <w:sz w:val="24"/>
          <w:szCs w:val="24"/>
        </w:rPr>
        <w:br/>
        <w:t>（3）具身智能与多模态感知融合能力：在视觉–触觉等多模态约束下进行状态估计、策略决策与鲁棒控制的能力。</w:t>
      </w:r>
    </w:p>
    <w:p w14:paraId="3A02D256"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（三）赛道设置</w:t>
      </w:r>
      <w:r w:rsidRPr="00DE3204">
        <w:rPr>
          <w:rFonts w:ascii="宋体" w:eastAsia="宋体" w:hAnsi="宋体" w:cs="宋体"/>
          <w:kern w:val="0"/>
          <w:sz w:val="24"/>
          <w:szCs w:val="24"/>
        </w:rPr>
        <w:br/>
        <w:t>本赛项设置两个赛道，每个赛道内包含两个具体任务（Task 1 / Task 2），分别对应“无语言指令的视触融合双臂操作”和“由语言指令约束的视触融合双臂操作”两类典型场景。</w:t>
      </w:r>
    </w:p>
    <w:p w14:paraId="194BFA6C" w14:textId="77777777" w:rsidR="00DE3204" w:rsidRPr="00DE3204" w:rsidRDefault="00DE3204" w:rsidP="009C37C1">
      <w:pPr>
        <w:widowControl/>
        <w:numPr>
          <w:ilvl w:val="0"/>
          <w:numId w:val="2"/>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lastRenderedPageBreak/>
        <w:t>赛道一：环境驱动的视触融合双臂操作赛道（无语言指令）</w:t>
      </w:r>
    </w:p>
    <w:p w14:paraId="12D2B829"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（1）特点</w:t>
      </w:r>
      <w:r w:rsidRPr="00DE3204">
        <w:rPr>
          <w:rFonts w:ascii="宋体" w:eastAsia="宋体" w:hAnsi="宋体" w:cs="宋体"/>
          <w:kern w:val="0"/>
          <w:sz w:val="24"/>
          <w:szCs w:val="24"/>
        </w:rPr>
        <w:br/>
        <w:t>– 任务类型固定，例如统一为抓取–放置、插装、整理等某一类双臂操作，但每轮比赛中的具体目标物体属性（如颜色、形状、大小、初始姿态和放置位置等）可随机变化。</w:t>
      </w:r>
      <w:r w:rsidRPr="00DE3204">
        <w:rPr>
          <w:rFonts w:ascii="宋体" w:eastAsia="宋体" w:hAnsi="宋体" w:cs="宋体"/>
          <w:kern w:val="0"/>
          <w:sz w:val="24"/>
          <w:szCs w:val="24"/>
        </w:rPr>
        <w:br/>
        <w:t>– 每轮场景中仅存在一个需要被操作的目标物体，不包含语言或文本指令，机器人需完全依赖视觉与触觉等环境信息推断目标状态并完成操作。</w:t>
      </w:r>
    </w:p>
    <w:p w14:paraId="38EFB5D7"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（2）要求</w:t>
      </w:r>
      <w:r w:rsidRPr="00DE3204">
        <w:rPr>
          <w:rFonts w:ascii="宋体" w:eastAsia="宋体" w:hAnsi="宋体" w:cs="宋体"/>
          <w:kern w:val="0"/>
          <w:sz w:val="24"/>
          <w:szCs w:val="24"/>
        </w:rPr>
        <w:br/>
        <w:t>– 系统需在“任务类型不变、物体实例扰动”的设置下，展示对不同外观和接触条件的鲁棒性与泛化能力；</w:t>
      </w:r>
      <w:r w:rsidRPr="00DE3204">
        <w:rPr>
          <w:rFonts w:ascii="宋体" w:eastAsia="宋体" w:hAnsi="宋体" w:cs="宋体"/>
          <w:kern w:val="0"/>
          <w:sz w:val="24"/>
          <w:szCs w:val="24"/>
        </w:rPr>
        <w:br/>
        <w:t>– 重点考察视触融合感知、接触状态估计和稳定双臂控制能力，不要求解析语言指令。</w:t>
      </w:r>
    </w:p>
    <w:p w14:paraId="5F1FD4BE" w14:textId="77777777" w:rsidR="00DE3204" w:rsidRPr="00DE3204" w:rsidRDefault="00DE3204" w:rsidP="009C37C1">
      <w:pPr>
        <w:widowControl/>
        <w:numPr>
          <w:ilvl w:val="0"/>
          <w:numId w:val="3"/>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赛道二：语言指令驱动的视触–语言融合双臂操作赛道</w:t>
      </w:r>
    </w:p>
    <w:p w14:paraId="63315C7B"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（1）特点</w:t>
      </w:r>
      <w:r w:rsidRPr="00DE3204">
        <w:rPr>
          <w:rFonts w:ascii="宋体" w:eastAsia="宋体" w:hAnsi="宋体" w:cs="宋体"/>
          <w:kern w:val="0"/>
          <w:sz w:val="24"/>
          <w:szCs w:val="24"/>
        </w:rPr>
        <w:br/>
        <w:t>– 场景中同时存在多个候选物体，这些物体在颜色、形状、大小、材质或空间位置等属性上存在差异；</w:t>
      </w:r>
      <w:r w:rsidRPr="00DE3204">
        <w:rPr>
          <w:rFonts w:ascii="宋体" w:eastAsia="宋体" w:hAnsi="宋体" w:cs="宋体"/>
          <w:kern w:val="0"/>
          <w:sz w:val="24"/>
          <w:szCs w:val="24"/>
        </w:rPr>
        <w:br/>
        <w:t>– 任务目标由自然语言指令给出，例如“先操作红色物体”“抓起蓝色方块并放入左侧托盘”“将条形软物体折叠后放到中间区域”等；</w:t>
      </w:r>
      <w:r w:rsidRPr="00DE3204">
        <w:rPr>
          <w:rFonts w:ascii="宋体" w:eastAsia="宋体" w:hAnsi="宋体" w:cs="宋体"/>
          <w:kern w:val="0"/>
          <w:sz w:val="24"/>
          <w:szCs w:val="24"/>
        </w:rPr>
        <w:br/>
        <w:t>– 语言指令用于在多个候选物体和多种操作方式中指定本轮需要完成的目标和顺序，类似“看图听指令再操作”的 VLA 场景。</w:t>
      </w:r>
    </w:p>
    <w:p w14:paraId="77B5C441"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（2）要求</w:t>
      </w:r>
      <w:r w:rsidRPr="00DE3204">
        <w:rPr>
          <w:rFonts w:ascii="宋体" w:eastAsia="宋体" w:hAnsi="宋体" w:cs="宋体"/>
          <w:kern w:val="0"/>
          <w:sz w:val="24"/>
          <w:szCs w:val="24"/>
        </w:rPr>
        <w:br/>
        <w:t>– 系统需联合利用视觉、触觉与语言信息，完成“听懂指令–选对目标–安全接触–完成操作”的完整闭环；</w:t>
      </w:r>
      <w:r w:rsidRPr="00DE3204">
        <w:rPr>
          <w:rFonts w:ascii="宋体" w:eastAsia="宋体" w:hAnsi="宋体" w:cs="宋体"/>
          <w:kern w:val="0"/>
          <w:sz w:val="24"/>
          <w:szCs w:val="24"/>
        </w:rPr>
        <w:br/>
        <w:t>– 重点考察视触–语言三模态对齐、语言约束下的目标选择与动作规划能力，以及在多候选物体和多轮指令中的任务执行稳定性。</w:t>
      </w:r>
    </w:p>
    <w:p w14:paraId="1336EF32"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两个赛道的具体任务定义（各自的 Task 1 / Task 2）、物体清单与场景配置将在赛前以技术手册形式统一公布。</w:t>
      </w:r>
    </w:p>
    <w:p w14:paraId="3D831520"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243F6598">
          <v:rect id="_x0000_i1283" style="width:0;height:1.5pt" o:hralign="center" o:hrstd="t" o:hr="t" fillcolor="#a0a0a0" stroked="f"/>
        </w:pict>
      </w:r>
    </w:p>
    <w:p w14:paraId="68CE3CCC"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二、赛程安排（本赛项）</w:t>
      </w:r>
    </w:p>
    <w:p w14:paraId="4AFF4596"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（一）赛程设置</w:t>
      </w:r>
    </w:p>
    <w:p w14:paraId="3E1D5F6A" w14:textId="77777777" w:rsidR="00DE3204" w:rsidRPr="00DE3204" w:rsidRDefault="00DE3204" w:rsidP="009C37C1">
      <w:pPr>
        <w:widowControl/>
        <w:numPr>
          <w:ilvl w:val="0"/>
          <w:numId w:val="4"/>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本赛项报名时间和现场决赛时间与大赛总体安排保持一致，由大赛组委会统一发布。</w:t>
      </w:r>
    </w:p>
    <w:p w14:paraId="07E229C5" w14:textId="77777777" w:rsidR="00DE3204" w:rsidRPr="00DE3204" w:rsidRDefault="00DE3204" w:rsidP="009C37C1">
      <w:pPr>
        <w:widowControl/>
        <w:numPr>
          <w:ilvl w:val="0"/>
          <w:numId w:val="4"/>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本赛项采用“材料初赛 + 现场决赛”两阶段形式：</w:t>
      </w:r>
      <w:r w:rsidRPr="00DE3204">
        <w:rPr>
          <w:rFonts w:ascii="宋体" w:eastAsia="宋体" w:hAnsi="宋体" w:cs="宋体"/>
          <w:kern w:val="0"/>
          <w:sz w:val="24"/>
          <w:szCs w:val="24"/>
        </w:rPr>
        <w:br/>
        <w:t>（1）初赛：线上材料评审，筛选进入现场决赛的队伍。</w:t>
      </w:r>
      <w:r w:rsidRPr="00DE3204">
        <w:rPr>
          <w:rFonts w:ascii="宋体" w:eastAsia="宋体" w:hAnsi="宋体" w:cs="宋体"/>
          <w:kern w:val="0"/>
          <w:sz w:val="24"/>
          <w:szCs w:val="24"/>
        </w:rPr>
        <w:br/>
      </w:r>
      <w:r w:rsidRPr="00DE3204">
        <w:rPr>
          <w:rFonts w:ascii="宋体" w:eastAsia="宋体" w:hAnsi="宋体" w:cs="宋体"/>
          <w:kern w:val="0"/>
          <w:sz w:val="24"/>
          <w:szCs w:val="24"/>
        </w:rPr>
        <w:lastRenderedPageBreak/>
        <w:t>（2）决赛：入围队伍在现场完成调试与比赛任务，现场产生最终名次与奖项。</w:t>
      </w:r>
    </w:p>
    <w:p w14:paraId="0A693041"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（二）初赛筛选方式</w:t>
      </w:r>
    </w:p>
    <w:p w14:paraId="006CDE3F" w14:textId="77777777" w:rsidR="00DE3204" w:rsidRPr="00DE3204" w:rsidRDefault="00DE3204" w:rsidP="009C37C1">
      <w:pPr>
        <w:widowControl/>
        <w:numPr>
          <w:ilvl w:val="0"/>
          <w:numId w:val="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初赛形式</w:t>
      </w:r>
      <w:r w:rsidRPr="00DE3204">
        <w:rPr>
          <w:rFonts w:ascii="宋体" w:eastAsia="宋体" w:hAnsi="宋体" w:cs="宋体"/>
          <w:kern w:val="0"/>
          <w:sz w:val="24"/>
          <w:szCs w:val="24"/>
        </w:rPr>
        <w:br/>
        <w:t>初赛为线上材料评审，不组织实物或远程实机测试。参赛队需按要求提交如下材料：</w:t>
      </w:r>
      <w:r w:rsidRPr="00DE3204">
        <w:rPr>
          <w:rFonts w:ascii="宋体" w:eastAsia="宋体" w:hAnsi="宋体" w:cs="宋体"/>
          <w:kern w:val="0"/>
          <w:sz w:val="24"/>
          <w:szCs w:val="24"/>
        </w:rPr>
        <w:br/>
        <w:t>（1）《赛项技术方案书》（建议不少于 5 页 PDF），内容包括：系统整体架构、机器人硬件配置、视觉–触觉感知与融合方案、遥操作 / 示教方案与数据采集策略、预期任务能力与技术创新点等。</w:t>
      </w:r>
      <w:r w:rsidRPr="00DE3204">
        <w:rPr>
          <w:rFonts w:ascii="宋体" w:eastAsia="宋体" w:hAnsi="宋体" w:cs="宋体"/>
          <w:kern w:val="0"/>
          <w:sz w:val="24"/>
          <w:szCs w:val="24"/>
        </w:rPr>
        <w:br/>
        <w:t>（2）队伍简介：包括单位信息、成员组成与分工、相关项目或竞赛经验（可重点讲述，方便组委评估队伍是否具备完成比赛的能力）。</w:t>
      </w:r>
      <w:r w:rsidRPr="00DE3204">
        <w:rPr>
          <w:rFonts w:ascii="宋体" w:eastAsia="宋体" w:hAnsi="宋体" w:cs="宋体"/>
          <w:kern w:val="0"/>
          <w:sz w:val="24"/>
          <w:szCs w:val="24"/>
        </w:rPr>
        <w:br/>
        <w:t>（3）可选材料：不超过 3 分钟的演示视频（仿真或真实机器人均可），展示系统原型或关键技术能力；触觉传感器或视触融合模块的示意图与说明等。</w:t>
      </w:r>
    </w:p>
    <w:p w14:paraId="6B96C5F0" w14:textId="77777777" w:rsidR="00DE3204" w:rsidRPr="00DE3204" w:rsidRDefault="00DE3204" w:rsidP="009C37C1">
      <w:pPr>
        <w:widowControl/>
        <w:numPr>
          <w:ilvl w:val="0"/>
          <w:numId w:val="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初赛评审指标（建议，可在最终细则中调整权重）</w:t>
      </w:r>
      <w:r w:rsidRPr="00DE3204">
        <w:rPr>
          <w:rFonts w:ascii="宋体" w:eastAsia="宋体" w:hAnsi="宋体" w:cs="宋体"/>
          <w:kern w:val="0"/>
          <w:sz w:val="24"/>
          <w:szCs w:val="24"/>
        </w:rPr>
        <w:br/>
        <w:t>（1）技术可行性与完备性（40%）：整体方案是否清晰、可在现场合理落地。</w:t>
      </w:r>
      <w:r w:rsidRPr="00DE3204">
        <w:rPr>
          <w:rFonts w:ascii="宋体" w:eastAsia="宋体" w:hAnsi="宋体" w:cs="宋体"/>
          <w:kern w:val="0"/>
          <w:sz w:val="24"/>
          <w:szCs w:val="24"/>
        </w:rPr>
        <w:br/>
        <w:t>（2）赛题契合度（30%）：是否突出双臂操作与视觉–触觉融合，是否紧扣本赛项目标和赛道特点。</w:t>
      </w:r>
      <w:r w:rsidRPr="00DE3204">
        <w:rPr>
          <w:rFonts w:ascii="宋体" w:eastAsia="宋体" w:hAnsi="宋体" w:cs="宋体"/>
          <w:kern w:val="0"/>
          <w:sz w:val="24"/>
          <w:szCs w:val="24"/>
        </w:rPr>
        <w:br/>
        <w:t>（3）技术创新性与发展潜力（30%）：在触觉感知、视触融合算法、从示教学习等方面的创新点与可扩展性。</w:t>
      </w:r>
    </w:p>
    <w:p w14:paraId="12348B17" w14:textId="77777777" w:rsidR="00DE3204" w:rsidRPr="00DE3204" w:rsidRDefault="00DE3204" w:rsidP="009C37C1">
      <w:pPr>
        <w:widowControl/>
        <w:numPr>
          <w:ilvl w:val="0"/>
          <w:numId w:val="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入围名额</w:t>
      </w:r>
      <w:r w:rsidRPr="00DE3204">
        <w:rPr>
          <w:rFonts w:ascii="宋体" w:eastAsia="宋体" w:hAnsi="宋体" w:cs="宋体"/>
          <w:kern w:val="0"/>
          <w:sz w:val="24"/>
          <w:szCs w:val="24"/>
        </w:rPr>
        <w:br/>
        <w:t>根据报名与场地情况，拟从初赛报名队伍中择优选出约 8–12 支队伍进入现场决赛。若报名队伍数量过多或过少，组委会可适当调整入围数量并提前对外公示。</w:t>
      </w:r>
    </w:p>
    <w:p w14:paraId="04C8BCF6"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2F2940FA">
          <v:rect id="_x0000_i1284" style="width:0;height:1.5pt" o:hralign="center" o:hrstd="t" o:hr="t" fillcolor="#a0a0a0" stroked="f"/>
        </w:pict>
      </w:r>
    </w:p>
    <w:p w14:paraId="2405E769"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三、参赛队伍与参赛资格</w:t>
      </w:r>
    </w:p>
    <w:p w14:paraId="118B69E9"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（一）参赛单位类型</w:t>
      </w:r>
      <w:r w:rsidRPr="00DE3204">
        <w:rPr>
          <w:rFonts w:ascii="宋体" w:eastAsia="宋体" w:hAnsi="宋体" w:cs="宋体"/>
          <w:kern w:val="0"/>
          <w:sz w:val="24"/>
          <w:szCs w:val="24"/>
        </w:rPr>
        <w:br/>
        <w:t>不单独设限，与大赛保持一致，面向高校、科研院所、企业及创新团队开放。</w:t>
      </w:r>
    </w:p>
    <w:p w14:paraId="2C6ABD0D"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（二）队伍组成要求</w:t>
      </w:r>
    </w:p>
    <w:p w14:paraId="15E37869" w14:textId="77777777" w:rsidR="00DE3204" w:rsidRPr="00DE3204" w:rsidRDefault="00DE3204" w:rsidP="009C37C1">
      <w:pPr>
        <w:widowControl/>
        <w:numPr>
          <w:ilvl w:val="0"/>
          <w:numId w:val="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队伍规模建议不超过 5 人。</w:t>
      </w:r>
    </w:p>
    <w:p w14:paraId="528F2212" w14:textId="77777777" w:rsidR="00DE3204" w:rsidRPr="00DE3204" w:rsidRDefault="00DE3204" w:rsidP="009C37C1">
      <w:pPr>
        <w:widowControl/>
        <w:numPr>
          <w:ilvl w:val="0"/>
          <w:numId w:val="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允许跨单位联合组队，需在报名材料中明确牵头单位与联系人。</w:t>
      </w:r>
    </w:p>
    <w:p w14:paraId="581AE2C8" w14:textId="77777777" w:rsidR="00DE3204" w:rsidRPr="00DE3204" w:rsidRDefault="00DE3204" w:rsidP="009C37C1">
      <w:pPr>
        <w:widowControl/>
        <w:numPr>
          <w:ilvl w:val="0"/>
          <w:numId w:val="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是否允许同一单位报名多个赛项：与大赛总体规则保持一致。</w:t>
      </w:r>
    </w:p>
    <w:p w14:paraId="1A7AEF1F"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（三）参赛条件</w:t>
      </w:r>
      <w:r w:rsidRPr="00DE3204">
        <w:rPr>
          <w:rFonts w:ascii="宋体" w:eastAsia="宋体" w:hAnsi="宋体" w:cs="宋体"/>
          <w:kern w:val="0"/>
          <w:sz w:val="24"/>
          <w:szCs w:val="24"/>
        </w:rPr>
        <w:br/>
        <w:t>具备基础机器人开发能力和机器人安全操作能力。鼓励队伍在双臂系统、多模态感知或学习算法等方面具备一定基础。</w:t>
      </w:r>
    </w:p>
    <w:p w14:paraId="79343147"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lastRenderedPageBreak/>
        <w:pict w14:anchorId="5CAE789B">
          <v:rect id="_x0000_i1285" style="width:0;height:1.5pt" o:hralign="center" o:hrstd="t" o:hr="t" fillcolor="#a0a0a0" stroked="f"/>
        </w:pict>
      </w:r>
    </w:p>
    <w:p w14:paraId="625379C3"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四、机器人与系统要求</w:t>
      </w:r>
    </w:p>
    <w:p w14:paraId="3773092E"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（一）机器人形态与自由度要求</w:t>
      </w:r>
    </w:p>
    <w:p w14:paraId="5333ED4C" w14:textId="77777777" w:rsidR="00DE3204" w:rsidRPr="00DE3204" w:rsidRDefault="00DE3204" w:rsidP="009C37C1">
      <w:pPr>
        <w:widowControl/>
        <w:numPr>
          <w:ilvl w:val="0"/>
          <w:numId w:val="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类型：不限。双臂固定基座、移动底盘 + 双臂、人形机器人、双臂组合等形式均可，但需能够在统一操作区域内完成双臂协作任务。</w:t>
      </w:r>
    </w:p>
    <w:p w14:paraId="0A23504F" w14:textId="77777777" w:rsidR="00DE3204" w:rsidRPr="00DE3204" w:rsidRDefault="00DE3204" w:rsidP="009C37C1">
      <w:pPr>
        <w:widowControl/>
        <w:numPr>
          <w:ilvl w:val="0"/>
          <w:numId w:val="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自由度：原则上整体系统有效关节自由度不少于 12 个（通常每臂不少于 6 自由度），以支撑复杂双臂协同操作。</w:t>
      </w:r>
    </w:p>
    <w:p w14:paraId="07CC960F" w14:textId="77777777" w:rsidR="00DE3204" w:rsidRPr="00DE3204" w:rsidRDefault="00DE3204" w:rsidP="009C37C1">
      <w:pPr>
        <w:widowControl/>
        <w:numPr>
          <w:ilvl w:val="0"/>
          <w:numId w:val="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末端执行器：不限，可使用现成夹爪、自研触觉手或其他末端工具。鼓励配备触觉感知能力。</w:t>
      </w:r>
    </w:p>
    <w:p w14:paraId="4EA56922"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（二）控制方式要求</w:t>
      </w:r>
    </w:p>
    <w:p w14:paraId="3ABF1338" w14:textId="77777777" w:rsidR="00DE3204" w:rsidRPr="00DE3204" w:rsidRDefault="00DE3204" w:rsidP="009C37C1">
      <w:pPr>
        <w:widowControl/>
        <w:numPr>
          <w:ilvl w:val="0"/>
          <w:numId w:val="8"/>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推荐的 UMI（robot-free）采集与训练方案</w:t>
      </w:r>
      <w:r w:rsidRPr="00DE3204">
        <w:rPr>
          <w:rFonts w:ascii="宋体" w:eastAsia="宋体" w:hAnsi="宋体" w:cs="宋体"/>
          <w:kern w:val="0"/>
          <w:sz w:val="24"/>
          <w:szCs w:val="24"/>
        </w:rPr>
        <w:br/>
        <w:t>（1）组委会提供一套基于 UMI 思想的“无机器人本体”数据采集开源方案，包含采集硬件参考设计与训练代码。参赛队可在本单位搭建推荐的采集硬件，在没有真实机器人本体的条件下完成手部 / 工具运动和触觉信号的采集，并利用提供的训练代码进行策略训练。</w:t>
      </w:r>
      <w:r w:rsidRPr="00DE3204">
        <w:rPr>
          <w:rFonts w:ascii="宋体" w:eastAsia="宋体" w:hAnsi="宋体" w:cs="宋体"/>
          <w:kern w:val="0"/>
          <w:sz w:val="24"/>
          <w:szCs w:val="24"/>
        </w:rPr>
        <w:br/>
        <w:t>（2）为方便各队在赛前进行数据采集，本赛项将针对每个任务公布：桌面推荐型号及购买链接、被操作物体的推荐型号及购买链接、桌面工作区域的大致范围及示意图。参赛队可在本地根据上述信息搭建近似一致的桌面与物体场景，使用 UMI 方案采集数据并训练策略。</w:t>
      </w:r>
    </w:p>
    <w:p w14:paraId="4F512B54" w14:textId="77777777" w:rsidR="00DE3204" w:rsidRPr="00DE3204" w:rsidRDefault="00DE3204" w:rsidP="009C37C1">
      <w:pPr>
        <w:widowControl/>
        <w:numPr>
          <w:ilvl w:val="0"/>
          <w:numId w:val="8"/>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遥操作采集与训练方案</w:t>
      </w:r>
      <w:r w:rsidRPr="00DE3204">
        <w:rPr>
          <w:rFonts w:ascii="宋体" w:eastAsia="宋体" w:hAnsi="宋体" w:cs="宋体"/>
          <w:kern w:val="0"/>
          <w:sz w:val="24"/>
          <w:szCs w:val="24"/>
        </w:rPr>
        <w:br/>
        <w:t>（1）参赛队可自选使用真实机器人进行遥操作示教，在本地或现场通过遥操作采集演示数据，并基于该数据训练策略进行自动执行。</w:t>
      </w:r>
      <w:r w:rsidRPr="00DE3204">
        <w:rPr>
          <w:rFonts w:ascii="宋体" w:eastAsia="宋体" w:hAnsi="宋体" w:cs="宋体"/>
          <w:kern w:val="0"/>
          <w:sz w:val="24"/>
          <w:szCs w:val="24"/>
        </w:rPr>
        <w:br/>
        <w:t>（2）无论是使用 UMI robot-free 采集方案，还是使用真实机器人遥操作采集方案，只要最终在比赛阶段实现“无人干预、全自主完成任务”，均视为“全自主模式”。</w:t>
      </w:r>
    </w:p>
    <w:p w14:paraId="77F80323" w14:textId="77777777" w:rsidR="00DE3204" w:rsidRPr="00DE3204" w:rsidRDefault="00DE3204" w:rsidP="009C37C1">
      <w:pPr>
        <w:widowControl/>
        <w:numPr>
          <w:ilvl w:val="0"/>
          <w:numId w:val="8"/>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比赛阶段控制模式与计分系数</w:t>
      </w:r>
      <w:r w:rsidRPr="00DE3204">
        <w:rPr>
          <w:rFonts w:ascii="宋体" w:eastAsia="宋体" w:hAnsi="宋体" w:cs="宋体"/>
          <w:kern w:val="0"/>
          <w:sz w:val="24"/>
          <w:szCs w:val="24"/>
        </w:rPr>
        <w:br/>
        <w:t>（1）全自主模式</w:t>
      </w:r>
      <w:r w:rsidRPr="00DE3204">
        <w:rPr>
          <w:rFonts w:ascii="宋体" w:eastAsia="宋体" w:hAnsi="宋体" w:cs="宋体"/>
          <w:kern w:val="0"/>
          <w:sz w:val="24"/>
          <w:szCs w:val="24"/>
        </w:rPr>
        <w:br/>
        <w:t>最终比赛执行阶段完全由策略自动控制完成任务，过程不允许人工干预（除安全相关急停外）。在该模式下，系统首先按统一评分规则得到“基础分”，然后在基础分的基础上乘以系数 4 作为最终得分：</w:t>
      </w:r>
      <w:r w:rsidRPr="00DE3204">
        <w:rPr>
          <w:rFonts w:ascii="宋体" w:eastAsia="宋体" w:hAnsi="宋体" w:cs="宋体"/>
          <w:kern w:val="0"/>
          <w:sz w:val="24"/>
          <w:szCs w:val="24"/>
        </w:rPr>
        <w:br/>
        <w:t>最终得分 = 基础分 × 4。</w:t>
      </w:r>
    </w:p>
    <w:p w14:paraId="009D5CD1"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（2）遥操作模式</w:t>
      </w:r>
      <w:r w:rsidRPr="00DE3204">
        <w:rPr>
          <w:rFonts w:ascii="宋体" w:eastAsia="宋体" w:hAnsi="宋体" w:cs="宋体"/>
          <w:kern w:val="0"/>
          <w:sz w:val="24"/>
          <w:szCs w:val="24"/>
        </w:rPr>
        <w:br/>
        <w:t>若参赛队选择在比赛阶段通过遥操作直接完成任务（不依赖自动策略执行），则按同一评分指标计算基础分，但不享受系数加成：</w:t>
      </w:r>
      <w:r w:rsidRPr="00DE3204">
        <w:rPr>
          <w:rFonts w:ascii="宋体" w:eastAsia="宋体" w:hAnsi="宋体" w:cs="宋体"/>
          <w:kern w:val="0"/>
          <w:sz w:val="24"/>
          <w:szCs w:val="24"/>
        </w:rPr>
        <w:br/>
        <w:t>最终得分 = 基础分。</w:t>
      </w:r>
    </w:p>
    <w:p w14:paraId="2FFE5E39"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（三）传感器与感知系统</w:t>
      </w:r>
      <w:r w:rsidRPr="00DE3204">
        <w:rPr>
          <w:rFonts w:ascii="宋体" w:eastAsia="宋体" w:hAnsi="宋体" w:cs="宋体"/>
          <w:kern w:val="0"/>
          <w:sz w:val="24"/>
          <w:szCs w:val="24"/>
        </w:rPr>
        <w:br/>
        <w:t>允许使用包括但不限于以下类型的传感器：</w:t>
      </w:r>
    </w:p>
    <w:p w14:paraId="4C716F33" w14:textId="77777777" w:rsidR="00DE3204" w:rsidRPr="00DE3204" w:rsidRDefault="00DE3204" w:rsidP="009C37C1">
      <w:pPr>
        <w:widowControl/>
        <w:numPr>
          <w:ilvl w:val="0"/>
          <w:numId w:val="9"/>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lastRenderedPageBreak/>
        <w:t>视觉传感器：RGB 摄像头、深度相机、多视角相机阵列等。</w:t>
      </w:r>
    </w:p>
    <w:p w14:paraId="36C3C93D" w14:textId="77777777" w:rsidR="00DE3204" w:rsidRPr="00DE3204" w:rsidRDefault="00DE3204" w:rsidP="009C37C1">
      <w:pPr>
        <w:widowControl/>
        <w:numPr>
          <w:ilvl w:val="0"/>
          <w:numId w:val="9"/>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触觉 / 力觉传感器：触觉传感器阵列、软体触觉手、末端力 / 力矩传感器、关节力矩反馈等。</w:t>
      </w:r>
    </w:p>
    <w:p w14:paraId="100BF2E5" w14:textId="77777777" w:rsidR="00DE3204" w:rsidRPr="00DE3204" w:rsidRDefault="00DE3204" w:rsidP="009C37C1">
      <w:pPr>
        <w:widowControl/>
        <w:numPr>
          <w:ilvl w:val="0"/>
          <w:numId w:val="9"/>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其他辅助传感器：IMU、编码器等。</w:t>
      </w:r>
      <w:r w:rsidRPr="00DE3204">
        <w:rPr>
          <w:rFonts w:ascii="宋体" w:eastAsia="宋体" w:hAnsi="宋体" w:cs="宋体"/>
          <w:kern w:val="0"/>
          <w:sz w:val="24"/>
          <w:szCs w:val="24"/>
        </w:rPr>
        <w:br/>
        <w:t>鼓励采用视觉与触觉信息融合的感知与决策方案。</w:t>
      </w:r>
    </w:p>
    <w:p w14:paraId="3571E47A"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（四）安全与接口要求</w:t>
      </w:r>
    </w:p>
    <w:p w14:paraId="6D56F961" w14:textId="77777777" w:rsidR="00DE3204" w:rsidRPr="00DE3204" w:rsidRDefault="00DE3204" w:rsidP="009C37C1">
      <w:pPr>
        <w:widowControl/>
        <w:numPr>
          <w:ilvl w:val="0"/>
          <w:numId w:val="10"/>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必备安全机制：</w:t>
      </w:r>
      <w:r w:rsidRPr="00DE3204">
        <w:rPr>
          <w:rFonts w:ascii="宋体" w:eastAsia="宋体" w:hAnsi="宋体" w:cs="宋体"/>
          <w:kern w:val="0"/>
          <w:sz w:val="24"/>
          <w:szCs w:val="24"/>
        </w:rPr>
        <w:br/>
        <w:t>（1）至少配备一个急停开关，确保在比赛现场可随时切断机器人动力。</w:t>
      </w:r>
      <w:r w:rsidRPr="00DE3204">
        <w:rPr>
          <w:rFonts w:ascii="宋体" w:eastAsia="宋体" w:hAnsi="宋体" w:cs="宋体"/>
          <w:kern w:val="0"/>
          <w:sz w:val="24"/>
          <w:szCs w:val="24"/>
        </w:rPr>
        <w:br/>
        <w:t>（2）建议配置速度、加速度和力 / 力矩限制，确保人员及设备安全。</w:t>
      </w:r>
    </w:p>
    <w:p w14:paraId="3CA9EF02" w14:textId="77777777" w:rsidR="00DE3204" w:rsidRPr="00DE3204" w:rsidRDefault="00DE3204" w:rsidP="009C37C1">
      <w:pPr>
        <w:widowControl/>
        <w:numPr>
          <w:ilvl w:val="0"/>
          <w:numId w:val="10"/>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供电方式要求：</w:t>
      </w:r>
      <w:r w:rsidRPr="00DE3204">
        <w:rPr>
          <w:rFonts w:ascii="宋体" w:eastAsia="宋体" w:hAnsi="宋体" w:cs="宋体"/>
          <w:kern w:val="0"/>
          <w:sz w:val="24"/>
          <w:szCs w:val="24"/>
        </w:rPr>
        <w:br/>
        <w:t>（1）默认使用 220V AC 市电，单套设备建议总功率不超过 3 kW，具体上限以大赛统一说明为准。</w:t>
      </w:r>
    </w:p>
    <w:p w14:paraId="5E42E170"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2C55BE95">
          <v:rect id="_x0000_i1286" style="width:0;height:1.5pt" o:hralign="center" o:hrstd="t" o:hr="t" fillcolor="#a0a0a0" stroked="f"/>
        </w:pict>
      </w:r>
    </w:p>
    <w:p w14:paraId="46CF6AFE"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五、比赛场地与任务场景说明</w:t>
      </w:r>
    </w:p>
    <w:p w14:paraId="1E485BEE"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（一）场地布局</w:t>
      </w:r>
    </w:p>
    <w:p w14:paraId="58FB8224" w14:textId="77777777" w:rsidR="00DE3204" w:rsidRPr="00DE3204" w:rsidRDefault="00DE3204" w:rsidP="009C37C1">
      <w:pPr>
        <w:widowControl/>
        <w:numPr>
          <w:ilvl w:val="0"/>
          <w:numId w:val="1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场地尺寸：长 3.0 m × 宽 2.5 m（具体数值由大赛统一规划，可在赛前技术手册中微调）。</w:t>
      </w:r>
    </w:p>
    <w:p w14:paraId="43BC8043" w14:textId="77777777" w:rsidR="00DE3204" w:rsidRPr="00DE3204" w:rsidRDefault="00DE3204" w:rsidP="009C37C1">
      <w:pPr>
        <w:widowControl/>
        <w:numPr>
          <w:ilvl w:val="0"/>
          <w:numId w:val="1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机器人初始位置：机器人底座固定在工作台前方中部，面向工作台，初始姿态为双臂收拢于身体前方的安全姿态。</w:t>
      </w:r>
    </w:p>
    <w:p w14:paraId="3191545F" w14:textId="77777777" w:rsidR="00DE3204" w:rsidRPr="00DE3204" w:rsidRDefault="00DE3204" w:rsidP="009C37C1">
      <w:pPr>
        <w:widowControl/>
        <w:numPr>
          <w:ilvl w:val="0"/>
          <w:numId w:val="1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任务区域划分：</w:t>
      </w:r>
      <w:r w:rsidRPr="00DE3204">
        <w:rPr>
          <w:rFonts w:ascii="宋体" w:eastAsia="宋体" w:hAnsi="宋体" w:cs="宋体"/>
          <w:kern w:val="0"/>
          <w:sz w:val="24"/>
          <w:szCs w:val="24"/>
        </w:rPr>
        <w:br/>
        <w:t>（1）操作区域 A：位于工作台左侧，用于刚性物体的抓取、搬运与粗分类。</w:t>
      </w:r>
      <w:r w:rsidRPr="00DE3204">
        <w:rPr>
          <w:rFonts w:ascii="宋体" w:eastAsia="宋体" w:hAnsi="宋体" w:cs="宋体"/>
          <w:kern w:val="0"/>
          <w:sz w:val="24"/>
          <w:szCs w:val="24"/>
        </w:rPr>
        <w:br/>
        <w:t>（2）操作区域 B：位于工作台右侧，用于精细装配、放置或柔性物体整理。</w:t>
      </w:r>
      <w:r w:rsidRPr="00DE3204">
        <w:rPr>
          <w:rFonts w:ascii="宋体" w:eastAsia="宋体" w:hAnsi="宋体" w:cs="宋体"/>
          <w:kern w:val="0"/>
          <w:sz w:val="24"/>
          <w:szCs w:val="24"/>
        </w:rPr>
        <w:br/>
        <w:t>（3）缓冲区域：位于工作台中部前缘，用于临时放置物体或双臂协同中间状态。</w:t>
      </w:r>
    </w:p>
    <w:p w14:paraId="2F5E85AC"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（二）任务物体与环境设施</w:t>
      </w:r>
    </w:p>
    <w:p w14:paraId="583AE40F" w14:textId="77777777" w:rsidR="00DE3204" w:rsidRPr="00DE3204" w:rsidRDefault="00DE3204" w:rsidP="009C37C1">
      <w:pPr>
        <w:widowControl/>
        <w:numPr>
          <w:ilvl w:val="0"/>
          <w:numId w:val="12"/>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任务物体列表示例（最终以技术手册为准）：</w:t>
      </w:r>
      <w:r w:rsidRPr="00DE3204">
        <w:rPr>
          <w:rFonts w:ascii="宋体" w:eastAsia="宋体" w:hAnsi="宋体" w:cs="宋体"/>
          <w:kern w:val="0"/>
          <w:sz w:val="24"/>
          <w:szCs w:val="24"/>
        </w:rPr>
        <w:br/>
        <w:t>（1）刚性彩色方块</w:t>
      </w:r>
      <w:r w:rsidRPr="00DE3204">
        <w:rPr>
          <w:rFonts w:ascii="宋体" w:eastAsia="宋体" w:hAnsi="宋体" w:cs="宋体"/>
          <w:kern w:val="0"/>
          <w:sz w:val="24"/>
          <w:szCs w:val="24"/>
        </w:rPr>
        <w:br/>
        <w:t>尺寸约 4 cm × 4 cm × 4 cm，重量约 80 g，材质为塑料或木质，至少包含红、蓝、黄三种颜色。</w:t>
      </w:r>
      <w:r w:rsidRPr="00DE3204">
        <w:rPr>
          <w:rFonts w:ascii="宋体" w:eastAsia="宋体" w:hAnsi="宋体" w:cs="宋体"/>
          <w:kern w:val="0"/>
          <w:sz w:val="24"/>
          <w:szCs w:val="24"/>
        </w:rPr>
        <w:br/>
        <w:t>（2）刚性圆柱插装件</w:t>
      </w:r>
      <w:r w:rsidRPr="00DE3204">
        <w:rPr>
          <w:rFonts w:ascii="宋体" w:eastAsia="宋体" w:hAnsi="宋体" w:cs="宋体"/>
          <w:kern w:val="0"/>
          <w:sz w:val="24"/>
          <w:szCs w:val="24"/>
        </w:rPr>
        <w:br/>
        <w:t>直径约 20 mm，高度约 50 mm，重量约 120 g，材质为塑料或金属，用于插装任务。</w:t>
      </w:r>
      <w:r w:rsidRPr="00DE3204">
        <w:rPr>
          <w:rFonts w:ascii="宋体" w:eastAsia="宋体" w:hAnsi="宋体" w:cs="宋体"/>
          <w:kern w:val="0"/>
          <w:sz w:val="24"/>
          <w:szCs w:val="24"/>
        </w:rPr>
        <w:br/>
        <w:t>（3）柔性布料</w:t>
      </w:r>
      <w:r w:rsidRPr="00DE3204">
        <w:rPr>
          <w:rFonts w:ascii="宋体" w:eastAsia="宋体" w:hAnsi="宋体" w:cs="宋体"/>
          <w:kern w:val="0"/>
          <w:sz w:val="24"/>
          <w:szCs w:val="24"/>
        </w:rPr>
        <w:br/>
        <w:t>尺寸约 30 cm × 30 cm 的正方形布，材质为棉或类似织物，用于展开、折叠等柔性操作任务。</w:t>
      </w:r>
    </w:p>
    <w:p w14:paraId="664C05B6" w14:textId="77777777" w:rsidR="00DE3204" w:rsidRPr="00DE3204" w:rsidRDefault="00DE3204" w:rsidP="009C37C1">
      <w:pPr>
        <w:widowControl/>
        <w:numPr>
          <w:ilvl w:val="0"/>
          <w:numId w:val="12"/>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lastRenderedPageBreak/>
        <w:t>固定设施：</w:t>
      </w:r>
      <w:r w:rsidRPr="00DE3204">
        <w:rPr>
          <w:rFonts w:ascii="宋体" w:eastAsia="宋体" w:hAnsi="宋体" w:cs="宋体"/>
          <w:kern w:val="0"/>
          <w:sz w:val="24"/>
          <w:szCs w:val="24"/>
        </w:rPr>
        <w:br/>
        <w:t>（1）工作台：推荐尺寸为长 1.2 m × 宽 0.8 m，高度约 0.75 m。</w:t>
      </w:r>
      <w:r w:rsidRPr="00DE3204">
        <w:rPr>
          <w:rFonts w:ascii="宋体" w:eastAsia="宋体" w:hAnsi="宋体" w:cs="宋体"/>
          <w:kern w:val="0"/>
          <w:sz w:val="24"/>
          <w:szCs w:val="24"/>
        </w:rPr>
        <w:br/>
        <w:t>（2）插装基板：放置于操作区域 B，带有若干插孔或定位槽，对应圆柱插装件。</w:t>
      </w:r>
      <w:r w:rsidRPr="00DE3204">
        <w:rPr>
          <w:rFonts w:ascii="宋体" w:eastAsia="宋体" w:hAnsi="宋体" w:cs="宋体"/>
          <w:kern w:val="0"/>
          <w:sz w:val="24"/>
          <w:szCs w:val="24"/>
        </w:rPr>
        <w:br/>
        <w:t>（3）分类托盘：分别放置于操作区域 A、B 两侧，用于颜色或类别分类放置。</w:t>
      </w:r>
      <w:r w:rsidRPr="00DE3204">
        <w:rPr>
          <w:rFonts w:ascii="宋体" w:eastAsia="宋体" w:hAnsi="宋体" w:cs="宋体"/>
          <w:kern w:val="0"/>
          <w:sz w:val="24"/>
          <w:szCs w:val="24"/>
        </w:rPr>
        <w:br/>
        <w:t>（4）必要时可设置挡板，避免物体从台面跌落。</w:t>
      </w:r>
    </w:p>
    <w:p w14:paraId="0D841766"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（三）初始状态与目标状态</w:t>
      </w:r>
    </w:p>
    <w:p w14:paraId="1F825655" w14:textId="77777777" w:rsidR="00DE3204" w:rsidRPr="00DE3204" w:rsidRDefault="00DE3204" w:rsidP="009C37C1">
      <w:pPr>
        <w:widowControl/>
        <w:numPr>
          <w:ilvl w:val="0"/>
          <w:numId w:val="13"/>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初始状态</w:t>
      </w:r>
      <w:r w:rsidRPr="00DE3204">
        <w:rPr>
          <w:rFonts w:ascii="宋体" w:eastAsia="宋体" w:hAnsi="宋体" w:cs="宋体"/>
          <w:kern w:val="0"/>
          <w:sz w:val="24"/>
          <w:szCs w:val="24"/>
        </w:rPr>
        <w:br/>
        <w:t>（1）刚性方块和圆柱插装件散放在操作区域 A 内，满足不叠放、彼此间距不小于一定阈值等约束。</w:t>
      </w:r>
      <w:r w:rsidRPr="00DE3204">
        <w:rPr>
          <w:rFonts w:ascii="宋体" w:eastAsia="宋体" w:hAnsi="宋体" w:cs="宋体"/>
          <w:kern w:val="0"/>
          <w:sz w:val="24"/>
          <w:szCs w:val="24"/>
        </w:rPr>
        <w:br/>
        <w:t>（2）柔性布料以揉皱或随意折叠的状态放置在操作区域 A 或缓冲区域内。</w:t>
      </w:r>
      <w:r w:rsidRPr="00DE3204">
        <w:rPr>
          <w:rFonts w:ascii="宋体" w:eastAsia="宋体" w:hAnsi="宋体" w:cs="宋体"/>
          <w:kern w:val="0"/>
          <w:sz w:val="24"/>
          <w:szCs w:val="24"/>
        </w:rPr>
        <w:br/>
        <w:t>（3）为兼顾公平性与可复现性，本赛项将在每个任务的桌面上预设 10 个固定的“候选目标位置”（如 10 个标定点或网格位置）：</w:t>
      </w:r>
      <w:r w:rsidRPr="00DE3204">
        <w:rPr>
          <w:rFonts w:ascii="宋体" w:eastAsia="宋体" w:hAnsi="宋体" w:cs="宋体"/>
          <w:kern w:val="0"/>
          <w:sz w:val="24"/>
          <w:szCs w:val="24"/>
        </w:rPr>
        <w:br/>
        <w:t>– 实际比赛中，被操作的目标物体只会被放置在这 10 个位置之一；</w:t>
      </w:r>
      <w:r w:rsidRPr="00DE3204">
        <w:rPr>
          <w:rFonts w:ascii="宋体" w:eastAsia="宋体" w:hAnsi="宋体" w:cs="宋体"/>
          <w:kern w:val="0"/>
          <w:sz w:val="24"/>
          <w:szCs w:val="24"/>
        </w:rPr>
        <w:br/>
        <w:t>– 这 10 个位置的精确坐标和排列方式在赛前不向参赛队公开，仅由裁判用于统一布置；</w:t>
      </w:r>
      <w:r w:rsidRPr="00DE3204">
        <w:rPr>
          <w:rFonts w:ascii="宋体" w:eastAsia="宋体" w:hAnsi="宋体" w:cs="宋体"/>
          <w:kern w:val="0"/>
          <w:sz w:val="24"/>
          <w:szCs w:val="24"/>
        </w:rPr>
        <w:br/>
        <w:t>– 参赛队可根据公布的桌面尺寸和示意图，在本地大致还原工作区域进行数据采集与训练。</w:t>
      </w:r>
    </w:p>
    <w:p w14:paraId="6636D025" w14:textId="77777777" w:rsidR="00DE3204" w:rsidRPr="00DE3204" w:rsidRDefault="00DE3204" w:rsidP="009C37C1">
      <w:pPr>
        <w:widowControl/>
        <w:numPr>
          <w:ilvl w:val="0"/>
          <w:numId w:val="13"/>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目标状态（示例）</w:t>
      </w:r>
      <w:r w:rsidRPr="00DE3204">
        <w:rPr>
          <w:rFonts w:ascii="宋体" w:eastAsia="宋体" w:hAnsi="宋体" w:cs="宋体"/>
          <w:kern w:val="0"/>
          <w:sz w:val="24"/>
          <w:szCs w:val="24"/>
        </w:rPr>
        <w:br/>
        <w:t>（1）刚性彩色方块分类与放置：将指定颜色或类别的方块抓取并放置到对应托盘内，方块需完全落入托盘区域。</w:t>
      </w:r>
      <w:r w:rsidRPr="00DE3204">
        <w:rPr>
          <w:rFonts w:ascii="宋体" w:eastAsia="宋体" w:hAnsi="宋体" w:cs="宋体"/>
          <w:kern w:val="0"/>
          <w:sz w:val="24"/>
          <w:szCs w:val="24"/>
        </w:rPr>
        <w:br/>
        <w:t>（2）圆柱插装件精细插装：将圆柱插装件抓取后插入指定孔位，插入深度和姿态需满足误差要求。</w:t>
      </w:r>
      <w:r w:rsidRPr="00DE3204">
        <w:rPr>
          <w:rFonts w:ascii="宋体" w:eastAsia="宋体" w:hAnsi="宋体" w:cs="宋体"/>
          <w:kern w:val="0"/>
          <w:sz w:val="24"/>
          <w:szCs w:val="24"/>
        </w:rPr>
        <w:br/>
        <w:t>（3）柔性布料展开与折叠：将揉皱布料展开摊平至指定区域，再按指定折叠方式折叠并放置到目标区域内。</w:t>
      </w:r>
    </w:p>
    <w:p w14:paraId="5FDC1067"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（四）任务流程（示例，可拆分为子任务）</w:t>
      </w:r>
    </w:p>
    <w:p w14:paraId="186E2E04" w14:textId="77777777" w:rsidR="00DE3204" w:rsidRPr="00DE3204" w:rsidRDefault="00DE3204" w:rsidP="009C37C1">
      <w:pPr>
        <w:widowControl/>
        <w:numPr>
          <w:ilvl w:val="0"/>
          <w:numId w:val="14"/>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子任务设置</w:t>
      </w:r>
      <w:r w:rsidRPr="00DE3204">
        <w:rPr>
          <w:rFonts w:ascii="宋体" w:eastAsia="宋体" w:hAnsi="宋体" w:cs="宋体"/>
          <w:kern w:val="0"/>
          <w:sz w:val="24"/>
          <w:szCs w:val="24"/>
        </w:rPr>
        <w:br/>
        <w:t>（1）子任务 1：目标刚性方块抓取与放置</w:t>
      </w:r>
      <w:r w:rsidRPr="00DE3204">
        <w:rPr>
          <w:rFonts w:ascii="宋体" w:eastAsia="宋体" w:hAnsi="宋体" w:cs="宋体"/>
          <w:kern w:val="0"/>
          <w:sz w:val="24"/>
          <w:szCs w:val="24"/>
        </w:rPr>
        <w:br/>
        <w:t>条件：从操作区域 A 中识别并抓取目标方块（赛道一中由位置和颜色规则指定；赛道二中由语言指令指定），放入对应分类托盘内。</w:t>
      </w:r>
      <w:r w:rsidRPr="00DE3204">
        <w:rPr>
          <w:rFonts w:ascii="宋体" w:eastAsia="宋体" w:hAnsi="宋体" w:cs="宋体"/>
          <w:kern w:val="0"/>
          <w:sz w:val="24"/>
          <w:szCs w:val="24"/>
        </w:rPr>
        <w:br/>
        <w:t>（2）子任务 2：圆柱插装件抓取与插装</w:t>
      </w:r>
      <w:r w:rsidRPr="00DE3204">
        <w:rPr>
          <w:rFonts w:ascii="宋体" w:eastAsia="宋体" w:hAnsi="宋体" w:cs="宋体"/>
          <w:kern w:val="0"/>
          <w:sz w:val="24"/>
          <w:szCs w:val="24"/>
        </w:rPr>
        <w:br/>
        <w:t>条件：从操作区域 A 中抓取圆柱插装件，将其插入操作区域 B 中指定孔位，插入到位并保持稳定。</w:t>
      </w:r>
      <w:r w:rsidRPr="00DE3204">
        <w:rPr>
          <w:rFonts w:ascii="宋体" w:eastAsia="宋体" w:hAnsi="宋体" w:cs="宋体"/>
          <w:kern w:val="0"/>
          <w:sz w:val="24"/>
          <w:szCs w:val="24"/>
        </w:rPr>
        <w:br/>
        <w:t>（3）子任务 3：柔性布料展开与折叠</w:t>
      </w:r>
      <w:r w:rsidRPr="00DE3204">
        <w:rPr>
          <w:rFonts w:ascii="宋体" w:eastAsia="宋体" w:hAnsi="宋体" w:cs="宋体"/>
          <w:kern w:val="0"/>
          <w:sz w:val="24"/>
          <w:szCs w:val="24"/>
        </w:rPr>
        <w:br/>
        <w:t>条件：将揉皱的布料展开并摊平至指定区域，之后按给定折叠要求完成折叠并放入目标区域。</w:t>
      </w:r>
    </w:p>
    <w:p w14:paraId="55E806D3" w14:textId="77777777" w:rsidR="00DE3204" w:rsidRPr="00DE3204" w:rsidRDefault="00DE3204" w:rsidP="009C37C1">
      <w:pPr>
        <w:widowControl/>
        <w:numPr>
          <w:ilvl w:val="0"/>
          <w:numId w:val="14"/>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执行顺序</w:t>
      </w:r>
      <w:r w:rsidRPr="00DE3204">
        <w:rPr>
          <w:rFonts w:ascii="宋体" w:eastAsia="宋体" w:hAnsi="宋体" w:cs="宋体"/>
          <w:kern w:val="0"/>
          <w:sz w:val="24"/>
          <w:szCs w:val="24"/>
        </w:rPr>
        <w:br/>
        <w:t>默认要求按子任务 1 → 子任务 2 → 子任务 3 的顺序执行，在限定时</w:t>
      </w:r>
      <w:r w:rsidRPr="00DE3204">
        <w:rPr>
          <w:rFonts w:ascii="宋体" w:eastAsia="宋体" w:hAnsi="宋体" w:cs="宋体"/>
          <w:kern w:val="0"/>
          <w:sz w:val="24"/>
          <w:szCs w:val="24"/>
        </w:rPr>
        <w:lastRenderedPageBreak/>
        <w:t>间内尽可能完成更多子任务。具体执行顺序和是否允许跳过，将在技术手册中进一步说明。</w:t>
      </w:r>
    </w:p>
    <w:p w14:paraId="415AAF68"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（五）时间限制和尝试次数</w:t>
      </w:r>
    </w:p>
    <w:p w14:paraId="4F08120E" w14:textId="77777777" w:rsidR="00DE3204" w:rsidRPr="00DE3204" w:rsidRDefault="00DE3204" w:rsidP="009C37C1">
      <w:pPr>
        <w:widowControl/>
        <w:numPr>
          <w:ilvl w:val="0"/>
          <w:numId w:val="1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单次比赛时间上限：每轮任务执行时间为 10 分钟。</w:t>
      </w:r>
    </w:p>
    <w:p w14:paraId="03A984CC" w14:textId="77777777" w:rsidR="00DE3204" w:rsidRPr="00DE3204" w:rsidRDefault="00DE3204" w:rsidP="009C37C1">
      <w:pPr>
        <w:widowControl/>
        <w:numPr>
          <w:ilvl w:val="0"/>
          <w:numId w:val="1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每队每个任务最多尝试次数：5 次，按最终得分最高的一次计入总成绩。</w:t>
      </w:r>
    </w:p>
    <w:p w14:paraId="19583431"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707D1FA9">
          <v:rect id="_x0000_i1287" style="width:0;height:1.5pt" o:hralign="center" o:hrstd="t" o:hr="t" fillcolor="#a0a0a0" stroked="f"/>
        </w:pict>
      </w:r>
    </w:p>
    <w:p w14:paraId="67D70A79"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六、比赛形式</w:t>
      </w:r>
    </w:p>
    <w:p w14:paraId="3FB9B985"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（一）整体流程</w:t>
      </w:r>
      <w:r w:rsidRPr="00DE3204">
        <w:rPr>
          <w:rFonts w:ascii="宋体" w:eastAsia="宋体" w:hAnsi="宋体" w:cs="宋体"/>
          <w:kern w:val="0"/>
          <w:sz w:val="24"/>
          <w:szCs w:val="24"/>
        </w:rPr>
        <w:br/>
        <w:t>本赛项整体流程参考“示教–学习–执行”三阶段形式，并允许参赛队在赛前利用 UMI robot-free 方案进行数据采集与训练，具体包括：</w:t>
      </w:r>
    </w:p>
    <w:p w14:paraId="530EFCEE" w14:textId="77777777" w:rsidR="00DE3204" w:rsidRPr="00DE3204" w:rsidRDefault="00DE3204" w:rsidP="009C37C1">
      <w:pPr>
        <w:widowControl/>
        <w:numPr>
          <w:ilvl w:val="0"/>
          <w:numId w:val="1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赛前阶段（推荐，非现场）</w:t>
      </w:r>
      <w:r w:rsidRPr="00DE3204">
        <w:rPr>
          <w:rFonts w:ascii="宋体" w:eastAsia="宋体" w:hAnsi="宋体" w:cs="宋体"/>
          <w:kern w:val="0"/>
          <w:sz w:val="24"/>
          <w:szCs w:val="24"/>
        </w:rPr>
        <w:br/>
        <w:t>参赛队可使用组委会提供的 UMI robot-free 采集方案，在本单位搭建与比赛场景近似的桌面与物体环境，采集多模态数据并训练初始策略。</w:t>
      </w:r>
    </w:p>
    <w:p w14:paraId="010A1998" w14:textId="77777777" w:rsidR="00DE3204" w:rsidRPr="00DE3204" w:rsidRDefault="00DE3204" w:rsidP="009C37C1">
      <w:pPr>
        <w:widowControl/>
        <w:numPr>
          <w:ilvl w:val="0"/>
          <w:numId w:val="1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阶段 1：遥操作 / 示教阶段（现场可选）</w:t>
      </w:r>
      <w:r w:rsidRPr="00DE3204">
        <w:rPr>
          <w:rFonts w:ascii="宋体" w:eastAsia="宋体" w:hAnsi="宋体" w:cs="宋体"/>
          <w:kern w:val="0"/>
          <w:sz w:val="24"/>
          <w:szCs w:val="24"/>
        </w:rPr>
        <w:br/>
        <w:t>参赛队可在现场通过遥操作或其他示教方式补充采集任务演示数据（覆盖不同赛道和任务），并记录视觉、触觉及机器人状态等多模态数据，用于对已有策略进行微调或增强。</w:t>
      </w:r>
    </w:p>
    <w:p w14:paraId="29527CC7" w14:textId="77777777" w:rsidR="00DE3204" w:rsidRPr="00DE3204" w:rsidRDefault="00DE3204" w:rsidP="009C37C1">
      <w:pPr>
        <w:widowControl/>
        <w:numPr>
          <w:ilvl w:val="0"/>
          <w:numId w:val="1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阶段 3：策略执行阶段</w:t>
      </w:r>
      <w:r w:rsidRPr="00DE3204">
        <w:rPr>
          <w:rFonts w:ascii="宋体" w:eastAsia="宋体" w:hAnsi="宋体" w:cs="宋体"/>
          <w:kern w:val="0"/>
          <w:sz w:val="24"/>
          <w:szCs w:val="24"/>
        </w:rPr>
        <w:br/>
        <w:t>在策略执行阶段，机器人根据训练得到的策略在尽量少的人为干预条件下完成指定任务：</w:t>
      </w:r>
      <w:r w:rsidRPr="00DE3204">
        <w:rPr>
          <w:rFonts w:ascii="宋体" w:eastAsia="宋体" w:hAnsi="宋体" w:cs="宋体"/>
          <w:kern w:val="0"/>
          <w:sz w:val="24"/>
          <w:szCs w:val="24"/>
        </w:rPr>
        <w:br/>
        <w:t>（1）若为“全自主模式”，执行过程不允许人工干预（除安全急停外），可享受得分系数加成；</w:t>
      </w:r>
      <w:r w:rsidRPr="00DE3204">
        <w:rPr>
          <w:rFonts w:ascii="宋体" w:eastAsia="宋体" w:hAnsi="宋体" w:cs="宋体"/>
          <w:kern w:val="0"/>
          <w:sz w:val="24"/>
          <w:szCs w:val="24"/>
        </w:rPr>
        <w:br/>
        <w:t>（2）若为“遥操作模式”，则由操作员直接操控机器人完成任务，仅按基础分计分，不享受系数加成。</w:t>
      </w:r>
    </w:p>
    <w:p w14:paraId="5C8999DC"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（二）现场操作规则</w:t>
      </w:r>
    </w:p>
    <w:p w14:paraId="25E07646" w14:textId="77777777" w:rsidR="00DE3204" w:rsidRPr="00DE3204" w:rsidRDefault="00DE3204" w:rsidP="009C37C1">
      <w:pPr>
        <w:widowControl/>
        <w:numPr>
          <w:ilvl w:val="0"/>
          <w:numId w:val="1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参赛队进场时间、准备时间：按大赛统一日程执行。</w:t>
      </w:r>
    </w:p>
    <w:p w14:paraId="2F261DBE" w14:textId="77777777" w:rsidR="00DE3204" w:rsidRPr="00DE3204" w:rsidRDefault="00DE3204" w:rsidP="009C37C1">
      <w:pPr>
        <w:widowControl/>
        <w:numPr>
          <w:ilvl w:val="0"/>
          <w:numId w:val="1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允许携带的设备：可携带自带控制电脑、网络设备、VR 设备、遥操作控制器等，需在报名材料中说明。</w:t>
      </w:r>
    </w:p>
    <w:p w14:paraId="644FD258" w14:textId="77777777" w:rsidR="00DE3204" w:rsidRPr="00DE3204" w:rsidRDefault="00DE3204" w:rsidP="009C37C1">
      <w:pPr>
        <w:widowControl/>
        <w:numPr>
          <w:ilvl w:val="0"/>
          <w:numId w:val="1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现场更改算法与参数：比赛前允许在指定时间窗口内进行调试与参数调整；在正式计分的策略执行环节，不得对核心控制策略进行实质性修改，具体边界由裁判组现场解释。</w:t>
      </w:r>
    </w:p>
    <w:p w14:paraId="65456F61"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0B3485D1">
          <v:rect id="_x0000_i1288" style="width:0;height:1.5pt" o:hralign="center" o:hrstd="t" o:hr="t" fillcolor="#a0a0a0" stroked="f"/>
        </w:pict>
      </w:r>
    </w:p>
    <w:p w14:paraId="33CECE48"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七、评分规则</w:t>
      </w:r>
    </w:p>
    <w:p w14:paraId="1FCC652B"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lastRenderedPageBreak/>
        <w:t>（一）评分指标设置</w:t>
      </w:r>
    </w:p>
    <w:p w14:paraId="7F51E142" w14:textId="553D43BD" w:rsidR="00DE3204" w:rsidRPr="00DE3204" w:rsidRDefault="00DE3204" w:rsidP="009C37C1">
      <w:pPr>
        <w:widowControl/>
        <w:numPr>
          <w:ilvl w:val="0"/>
          <w:numId w:val="18"/>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任务完成度</w:t>
      </w:r>
      <w:r w:rsidRPr="00DE3204">
        <w:rPr>
          <w:rFonts w:ascii="宋体" w:eastAsia="宋体" w:hAnsi="宋体" w:cs="宋体"/>
          <w:kern w:val="0"/>
          <w:sz w:val="24"/>
          <w:szCs w:val="24"/>
        </w:rPr>
        <w:br/>
        <w:t>完成子任务数量与完成质量（位置误差、姿态误差、分类正确率、插装成功率等）。</w:t>
      </w:r>
    </w:p>
    <w:p w14:paraId="033B9B7D" w14:textId="0603FA55" w:rsidR="00DE3204" w:rsidRPr="00DE3204" w:rsidRDefault="00DE3204" w:rsidP="009C37C1">
      <w:pPr>
        <w:widowControl/>
        <w:numPr>
          <w:ilvl w:val="0"/>
          <w:numId w:val="18"/>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时间效率</w:t>
      </w:r>
      <w:r w:rsidRPr="00DE3204">
        <w:rPr>
          <w:rFonts w:ascii="宋体" w:eastAsia="宋体" w:hAnsi="宋体" w:cs="宋体"/>
          <w:kern w:val="0"/>
          <w:sz w:val="24"/>
          <w:szCs w:val="24"/>
        </w:rPr>
        <w:br/>
        <w:t>完成任务所用时间、是否在规定时间内完成全部指定目标。</w:t>
      </w:r>
    </w:p>
    <w:p w14:paraId="5D9B3FB5"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（二）评分方法与公式</w:t>
      </w:r>
    </w:p>
    <w:p w14:paraId="27E7EB95" w14:textId="17E3653C" w:rsidR="00DE3204" w:rsidRPr="00DE3204" w:rsidRDefault="00DE3204" w:rsidP="009C37C1">
      <w:pPr>
        <w:widowControl/>
        <w:numPr>
          <w:ilvl w:val="0"/>
          <w:numId w:val="19"/>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基础分计算</w:t>
      </w:r>
      <w:r w:rsidRPr="00DE3204">
        <w:rPr>
          <w:rFonts w:ascii="宋体" w:eastAsia="宋体" w:hAnsi="宋体" w:cs="宋体"/>
          <w:kern w:val="0"/>
          <w:sz w:val="24"/>
          <w:szCs w:val="24"/>
        </w:rPr>
        <w:br/>
        <w:t>基础分 = 任务完成度得分 + 时间效率得分</w:t>
      </w:r>
    </w:p>
    <w:p w14:paraId="07456B07" w14:textId="77777777" w:rsidR="00DE3204" w:rsidRPr="00DE3204" w:rsidRDefault="00DE3204" w:rsidP="009C37C1">
      <w:pPr>
        <w:widowControl/>
        <w:numPr>
          <w:ilvl w:val="0"/>
          <w:numId w:val="19"/>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模式系数与最终得分</w:t>
      </w:r>
      <w:r w:rsidRPr="00DE3204">
        <w:rPr>
          <w:rFonts w:ascii="宋体" w:eastAsia="宋体" w:hAnsi="宋体" w:cs="宋体"/>
          <w:kern w:val="0"/>
          <w:sz w:val="24"/>
          <w:szCs w:val="24"/>
        </w:rPr>
        <w:br/>
        <w:t>（1）全自主模式：</w:t>
      </w:r>
      <w:r w:rsidRPr="00DE3204">
        <w:rPr>
          <w:rFonts w:ascii="宋体" w:eastAsia="宋体" w:hAnsi="宋体" w:cs="宋体"/>
          <w:kern w:val="0"/>
          <w:sz w:val="24"/>
          <w:szCs w:val="24"/>
        </w:rPr>
        <w:br/>
        <w:t>最终得分 = 基础分 × 4。</w:t>
      </w:r>
    </w:p>
    <w:p w14:paraId="0D27B25B"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（2）遥操作模式：</w:t>
      </w:r>
      <w:r w:rsidRPr="00DE3204">
        <w:rPr>
          <w:rFonts w:ascii="宋体" w:eastAsia="宋体" w:hAnsi="宋体" w:cs="宋体"/>
          <w:kern w:val="0"/>
          <w:sz w:val="24"/>
          <w:szCs w:val="24"/>
        </w:rPr>
        <w:br/>
        <w:t>最终得分 = 基础分。</w:t>
      </w:r>
    </w:p>
    <w:p w14:paraId="46F1F31F"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如同一队伍在允许范围内完成多次尝试，则取该队伍在对应模式下的最高最终得分计入总排名。</w:t>
      </w:r>
    </w:p>
    <w:p w14:paraId="4B08D097"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（三）名次判定与并列规则</w:t>
      </w:r>
    </w:p>
    <w:p w14:paraId="2C371303" w14:textId="77777777" w:rsidR="00DE3204" w:rsidRPr="00DE3204" w:rsidRDefault="00DE3204" w:rsidP="009C37C1">
      <w:pPr>
        <w:widowControl/>
        <w:numPr>
          <w:ilvl w:val="0"/>
          <w:numId w:val="20"/>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若最终得分不同，则按最终得分从高到低排名。</w:t>
      </w:r>
    </w:p>
    <w:p w14:paraId="57E131FB" w14:textId="77777777" w:rsidR="00DE3204" w:rsidRPr="00DE3204" w:rsidRDefault="00DE3204" w:rsidP="009C37C1">
      <w:pPr>
        <w:widowControl/>
        <w:numPr>
          <w:ilvl w:val="0"/>
          <w:numId w:val="20"/>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若最终得分相同，则依次比较：</w:t>
      </w:r>
      <w:r w:rsidRPr="00DE3204">
        <w:rPr>
          <w:rFonts w:ascii="宋体" w:eastAsia="宋体" w:hAnsi="宋体" w:cs="宋体"/>
          <w:kern w:val="0"/>
          <w:sz w:val="24"/>
          <w:szCs w:val="24"/>
        </w:rPr>
        <w:br/>
        <w:t>（1）任务完成度；</w:t>
      </w:r>
      <w:r w:rsidRPr="00DE3204">
        <w:rPr>
          <w:rFonts w:ascii="宋体" w:eastAsia="宋体" w:hAnsi="宋体" w:cs="宋体"/>
          <w:kern w:val="0"/>
          <w:sz w:val="24"/>
          <w:szCs w:val="24"/>
        </w:rPr>
        <w:br/>
        <w:t>（2）完成时间；</w:t>
      </w:r>
      <w:r w:rsidRPr="00DE3204">
        <w:rPr>
          <w:rFonts w:ascii="宋体" w:eastAsia="宋体" w:hAnsi="宋体" w:cs="宋体"/>
          <w:kern w:val="0"/>
          <w:sz w:val="24"/>
          <w:szCs w:val="24"/>
        </w:rPr>
        <w:br/>
        <w:t>（3）评审综合评分（创新性与可扩展性等）。</w:t>
      </w:r>
    </w:p>
    <w:p w14:paraId="7547467E"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78FE5A4B">
          <v:rect id="_x0000_i1289" style="width:0;height:1.5pt" o:hralign="center" o:hrstd="t" o:hr="t" fillcolor="#a0a0a0" stroked="f"/>
        </w:pict>
      </w:r>
    </w:p>
    <w:p w14:paraId="4A684795"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八、奖项设置（本赛项）</w:t>
      </w:r>
    </w:p>
    <w:p w14:paraId="1D8F0A0E"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（一）奖项种类与名额</w:t>
      </w:r>
    </w:p>
    <w:p w14:paraId="13817648" w14:textId="77777777" w:rsidR="00DE3204" w:rsidRPr="00DE3204" w:rsidRDefault="00DE3204" w:rsidP="009C37C1">
      <w:pPr>
        <w:widowControl/>
        <w:numPr>
          <w:ilvl w:val="0"/>
          <w:numId w:val="2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一等奖 1 名。</w:t>
      </w:r>
    </w:p>
    <w:p w14:paraId="68A36EA9" w14:textId="77777777" w:rsidR="00DE3204" w:rsidRPr="00DE3204" w:rsidRDefault="00DE3204" w:rsidP="009C37C1">
      <w:pPr>
        <w:widowControl/>
        <w:numPr>
          <w:ilvl w:val="0"/>
          <w:numId w:val="2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二等奖 2 名。</w:t>
      </w:r>
    </w:p>
    <w:p w14:paraId="60D946AC" w14:textId="77777777" w:rsidR="00DE3204" w:rsidRPr="00DE3204" w:rsidRDefault="00DE3204" w:rsidP="009C37C1">
      <w:pPr>
        <w:widowControl/>
        <w:numPr>
          <w:ilvl w:val="0"/>
          <w:numId w:val="21"/>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三等奖 3 名。</w:t>
      </w:r>
    </w:p>
    <w:p w14:paraId="0A79294D"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（二）获奖条件</w:t>
      </w:r>
    </w:p>
    <w:p w14:paraId="65322944" w14:textId="77777777" w:rsidR="00DE3204" w:rsidRPr="00DE3204" w:rsidRDefault="00DE3204" w:rsidP="009C37C1">
      <w:pPr>
        <w:widowControl/>
        <w:numPr>
          <w:ilvl w:val="0"/>
          <w:numId w:val="22"/>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总分排序前 1 名为一等奖，依次类推。</w:t>
      </w:r>
    </w:p>
    <w:p w14:paraId="5065FBAE" w14:textId="77777777" w:rsidR="00DE3204" w:rsidRPr="00DE3204" w:rsidRDefault="00DE3204" w:rsidP="009C37C1">
      <w:pPr>
        <w:widowControl/>
        <w:numPr>
          <w:ilvl w:val="0"/>
          <w:numId w:val="22"/>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如某档次队伍整体得分未达到最低标准，组委会有权空缺该档奖项。</w:t>
      </w:r>
    </w:p>
    <w:p w14:paraId="73752437"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50DAF85D">
          <v:rect id="_x0000_i1290" style="width:0;height:1.5pt" o:hralign="center" o:hrstd="t" o:hr="t" fillcolor="#a0a0a0" stroked="f"/>
        </w:pict>
      </w:r>
    </w:p>
    <w:p w14:paraId="6FFB424C"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lastRenderedPageBreak/>
        <w:t>九、违规、申诉与安全补充条款</w:t>
      </w:r>
    </w:p>
    <w:p w14:paraId="152B423E"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总体与大赛总体安排保持一致，以下为本赛项补充。</w:t>
      </w:r>
    </w:p>
    <w:p w14:paraId="3798F5E7"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（一）违规行为判定</w:t>
      </w:r>
    </w:p>
    <w:p w14:paraId="021E6D4C" w14:textId="77777777" w:rsidR="00DE3204" w:rsidRPr="00DE3204" w:rsidRDefault="00DE3204" w:rsidP="009C37C1">
      <w:pPr>
        <w:widowControl/>
        <w:numPr>
          <w:ilvl w:val="0"/>
          <w:numId w:val="23"/>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在规定的“全自主模式”执行阶段进行未经允许的人工干预。</w:t>
      </w:r>
    </w:p>
    <w:p w14:paraId="6453AFEF" w14:textId="77777777" w:rsidR="00DE3204" w:rsidRPr="00DE3204" w:rsidRDefault="00DE3204" w:rsidP="009C37C1">
      <w:pPr>
        <w:widowControl/>
        <w:numPr>
          <w:ilvl w:val="0"/>
          <w:numId w:val="23"/>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使用与报名材料严重不符的硬件 / 软件系统且未事先报备。</w:t>
      </w:r>
    </w:p>
    <w:p w14:paraId="79914DEC" w14:textId="77777777" w:rsidR="00DE3204" w:rsidRPr="00DE3204" w:rsidRDefault="00DE3204" w:rsidP="009C37C1">
      <w:pPr>
        <w:widowControl/>
        <w:numPr>
          <w:ilvl w:val="0"/>
          <w:numId w:val="23"/>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未经允许手动调整任务物体或场地布置。</w:t>
      </w:r>
    </w:p>
    <w:p w14:paraId="56674F5E"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（二）处罚办法</w:t>
      </w:r>
    </w:p>
    <w:p w14:paraId="545CB412" w14:textId="77777777" w:rsidR="00DE3204" w:rsidRPr="00DE3204" w:rsidRDefault="00DE3204" w:rsidP="009C37C1">
      <w:pPr>
        <w:widowControl/>
        <w:numPr>
          <w:ilvl w:val="0"/>
          <w:numId w:val="24"/>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轻微违规：扣 10 分，由裁判组视情节轻重决定。</w:t>
      </w:r>
    </w:p>
    <w:p w14:paraId="0374F81A" w14:textId="77777777" w:rsidR="00DE3204" w:rsidRPr="00DE3204" w:rsidRDefault="00DE3204" w:rsidP="009C37C1">
      <w:pPr>
        <w:widowControl/>
        <w:numPr>
          <w:ilvl w:val="0"/>
          <w:numId w:val="24"/>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严重违规：判定该轮成绩无效，情节特别严重者可取消本赛项参赛资格。</w:t>
      </w:r>
    </w:p>
    <w:p w14:paraId="395E9D97" w14:textId="77777777" w:rsidR="00DE3204" w:rsidRPr="00DE3204" w:rsidRDefault="00DE3204" w:rsidP="00DE3204">
      <w:pPr>
        <w:widowControl/>
        <w:jc w:val="left"/>
        <w:rPr>
          <w:rFonts w:ascii="宋体" w:eastAsia="宋体" w:hAnsi="宋体" w:cs="宋体"/>
          <w:kern w:val="0"/>
          <w:sz w:val="24"/>
          <w:szCs w:val="24"/>
        </w:rPr>
      </w:pPr>
      <w:r w:rsidRPr="00DE3204">
        <w:rPr>
          <w:rFonts w:ascii="宋体" w:eastAsia="宋体" w:hAnsi="宋体" w:cs="宋体"/>
          <w:kern w:val="0"/>
          <w:sz w:val="24"/>
          <w:szCs w:val="24"/>
        </w:rPr>
        <w:pict w14:anchorId="7B76F135">
          <v:rect id="_x0000_i1291" style="width:0;height:1.5pt" o:hralign="center" o:hrstd="t" o:hr="t" fillcolor="#a0a0a0" stroked="f"/>
        </w:pict>
      </w:r>
    </w:p>
    <w:p w14:paraId="7DD080C5"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十、赛前材料与现场技术需求</w:t>
      </w:r>
    </w:p>
    <w:p w14:paraId="42E8FA61"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（一）赛前提交材料清单</w:t>
      </w:r>
    </w:p>
    <w:p w14:paraId="7EDA3BF8" w14:textId="77777777" w:rsidR="00DE3204" w:rsidRPr="00DE3204" w:rsidRDefault="00DE3204" w:rsidP="009C37C1">
      <w:pPr>
        <w:widowControl/>
        <w:numPr>
          <w:ilvl w:val="0"/>
          <w:numId w:val="2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队伍信息表（统一模板），按组委会统一格式填写。</w:t>
      </w:r>
    </w:p>
    <w:p w14:paraId="153B860B" w14:textId="77777777" w:rsidR="00DE3204" w:rsidRPr="00DE3204" w:rsidRDefault="00DE3204" w:rsidP="009C37C1">
      <w:pPr>
        <w:widowControl/>
        <w:numPr>
          <w:ilvl w:val="0"/>
          <w:numId w:val="2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技术方案书（建议不少于 5 页），需包含：</w:t>
      </w:r>
      <w:r w:rsidRPr="00DE3204">
        <w:rPr>
          <w:rFonts w:ascii="宋体" w:eastAsia="宋体" w:hAnsi="宋体" w:cs="宋体"/>
          <w:kern w:val="0"/>
          <w:sz w:val="24"/>
          <w:szCs w:val="24"/>
        </w:rPr>
        <w:br/>
        <w:t>（1）系统整体架构；</w:t>
      </w:r>
      <w:r w:rsidRPr="00DE3204">
        <w:rPr>
          <w:rFonts w:ascii="宋体" w:eastAsia="宋体" w:hAnsi="宋体" w:cs="宋体"/>
          <w:kern w:val="0"/>
          <w:sz w:val="24"/>
          <w:szCs w:val="24"/>
        </w:rPr>
        <w:br/>
        <w:t>（2）机器人硬件配置；</w:t>
      </w:r>
      <w:r w:rsidRPr="00DE3204">
        <w:rPr>
          <w:rFonts w:ascii="宋体" w:eastAsia="宋体" w:hAnsi="宋体" w:cs="宋体"/>
          <w:kern w:val="0"/>
          <w:sz w:val="24"/>
          <w:szCs w:val="24"/>
        </w:rPr>
        <w:br/>
        <w:t>（3）感知与控制方法；</w:t>
      </w:r>
      <w:r w:rsidRPr="00DE3204">
        <w:rPr>
          <w:rFonts w:ascii="宋体" w:eastAsia="宋体" w:hAnsi="宋体" w:cs="宋体"/>
          <w:kern w:val="0"/>
          <w:sz w:val="24"/>
          <w:szCs w:val="24"/>
        </w:rPr>
        <w:br/>
        <w:t>（4）遥操作 / 示教方案；</w:t>
      </w:r>
      <w:r w:rsidRPr="00DE3204">
        <w:rPr>
          <w:rFonts w:ascii="宋体" w:eastAsia="宋体" w:hAnsi="宋体" w:cs="宋体"/>
          <w:kern w:val="0"/>
          <w:sz w:val="24"/>
          <w:szCs w:val="24"/>
        </w:rPr>
        <w:br/>
        <w:t>（5）视触融合方案与关键创新点；</w:t>
      </w:r>
      <w:r w:rsidRPr="00DE3204">
        <w:rPr>
          <w:rFonts w:ascii="宋体" w:eastAsia="宋体" w:hAnsi="宋体" w:cs="宋体"/>
          <w:kern w:val="0"/>
          <w:sz w:val="24"/>
          <w:szCs w:val="24"/>
        </w:rPr>
        <w:br/>
        <w:t>（6）如采用 UMI robot-free 方案，简要说明本地采集场景搭建情况与数据规模。</w:t>
      </w:r>
    </w:p>
    <w:p w14:paraId="27920BAB" w14:textId="77777777" w:rsidR="00DE3204" w:rsidRPr="00DE3204" w:rsidRDefault="00DE3204" w:rsidP="009C37C1">
      <w:pPr>
        <w:widowControl/>
        <w:numPr>
          <w:ilvl w:val="0"/>
          <w:numId w:val="25"/>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演示视频（可选），时长不超过 3 分钟。</w:t>
      </w:r>
    </w:p>
    <w:p w14:paraId="28D67763"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（二）现场技术需求</w:t>
      </w:r>
    </w:p>
    <w:p w14:paraId="46AEE9C1" w14:textId="77777777" w:rsidR="00DE3204" w:rsidRPr="00DE3204" w:rsidRDefault="00DE3204" w:rsidP="009C37C1">
      <w:pPr>
        <w:widowControl/>
        <w:numPr>
          <w:ilvl w:val="0"/>
          <w:numId w:val="2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用电需求：电压 220V AC，建议单队设备总功率不超过 3 kW。</w:t>
      </w:r>
    </w:p>
    <w:p w14:paraId="3F4A7452" w14:textId="77777777" w:rsidR="00DE3204" w:rsidRPr="00DE3204" w:rsidRDefault="00DE3204" w:rsidP="009C37C1">
      <w:pPr>
        <w:widowControl/>
        <w:numPr>
          <w:ilvl w:val="0"/>
          <w:numId w:val="2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网络需求：提供至少一条有线以太网接口，可按需申请无线网络接入。</w:t>
      </w:r>
    </w:p>
    <w:p w14:paraId="265D3426" w14:textId="77777777" w:rsidR="00DE3204" w:rsidRPr="00DE3204" w:rsidRDefault="00DE3204" w:rsidP="009C37C1">
      <w:pPr>
        <w:widowControl/>
        <w:numPr>
          <w:ilvl w:val="0"/>
          <w:numId w:val="2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设备占地需求：建议每队工作区域不小于宽 2.0 m × 深 2.0 m。</w:t>
      </w:r>
    </w:p>
    <w:p w14:paraId="60A65EC8" w14:textId="77777777" w:rsidR="00DE3204" w:rsidRPr="00DE3204" w:rsidRDefault="00DE3204" w:rsidP="009C37C1">
      <w:pPr>
        <w:widowControl/>
        <w:numPr>
          <w:ilvl w:val="0"/>
          <w:numId w:val="26"/>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特殊需求（如黑幕环境、固定支架等）：参赛队需在报名及技术方案书中提前说明，由组委会视条件统筹安排。</w:t>
      </w:r>
    </w:p>
    <w:p w14:paraId="698F1BB6"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（三）联络方式</w:t>
      </w:r>
    </w:p>
    <w:p w14:paraId="3226F507" w14:textId="77777777" w:rsidR="00DE3204" w:rsidRPr="00DE3204" w:rsidRDefault="00DE3204" w:rsidP="009C37C1">
      <w:pPr>
        <w:widowControl/>
        <w:numPr>
          <w:ilvl w:val="0"/>
          <w:numId w:val="2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赛项负责人：待定。</w:t>
      </w:r>
    </w:p>
    <w:p w14:paraId="1B92D434" w14:textId="77777777" w:rsidR="00DE3204" w:rsidRPr="00DE3204" w:rsidRDefault="00DE3204" w:rsidP="009C37C1">
      <w:pPr>
        <w:widowControl/>
        <w:numPr>
          <w:ilvl w:val="0"/>
          <w:numId w:val="2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联系邮箱：待定。</w:t>
      </w:r>
    </w:p>
    <w:p w14:paraId="6AE38D61" w14:textId="77777777" w:rsidR="00DE3204" w:rsidRPr="00DE3204" w:rsidRDefault="00DE3204" w:rsidP="009C37C1">
      <w:pPr>
        <w:widowControl/>
        <w:numPr>
          <w:ilvl w:val="0"/>
          <w:numId w:val="27"/>
        </w:numPr>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t>联系电话 / 微信（可选）：待定。</w:t>
      </w:r>
    </w:p>
    <w:p w14:paraId="36B3AECF" w14:textId="77777777" w:rsidR="00DE3204" w:rsidRPr="00DE3204" w:rsidRDefault="00DE3204" w:rsidP="00DE3204">
      <w:pPr>
        <w:widowControl/>
        <w:spacing w:before="100" w:beforeAutospacing="1" w:after="100" w:afterAutospacing="1"/>
        <w:jc w:val="left"/>
        <w:rPr>
          <w:rFonts w:ascii="宋体" w:eastAsia="宋体" w:hAnsi="宋体" w:cs="宋体"/>
          <w:kern w:val="0"/>
          <w:sz w:val="24"/>
          <w:szCs w:val="24"/>
        </w:rPr>
      </w:pPr>
      <w:r w:rsidRPr="00DE3204">
        <w:rPr>
          <w:rFonts w:ascii="宋体" w:eastAsia="宋体" w:hAnsi="宋体" w:cs="宋体"/>
          <w:kern w:val="0"/>
          <w:sz w:val="24"/>
          <w:szCs w:val="24"/>
        </w:rPr>
        <w:lastRenderedPageBreak/>
        <w:t>（你可以直接把上面整段复制到 Word 里，再按需要微调具体数值、任务细节和联系人信息。）</w:t>
      </w:r>
    </w:p>
    <w:p w14:paraId="1320918B" w14:textId="77777777" w:rsidR="003A5A7B" w:rsidRPr="00DE3204" w:rsidRDefault="003A5A7B" w:rsidP="00DE3204"/>
    <w:sectPr w:rsidR="003A5A7B" w:rsidRPr="00DE32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FC99E" w14:textId="77777777" w:rsidR="009C37C1" w:rsidRDefault="009C37C1" w:rsidP="00E52B3B">
      <w:r>
        <w:separator/>
      </w:r>
    </w:p>
  </w:endnote>
  <w:endnote w:type="continuationSeparator" w:id="0">
    <w:p w14:paraId="4CAA4B50" w14:textId="77777777" w:rsidR="009C37C1" w:rsidRDefault="009C37C1" w:rsidP="00E52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EE3D9" w14:textId="77777777" w:rsidR="009C37C1" w:rsidRDefault="009C37C1" w:rsidP="00E52B3B">
      <w:r>
        <w:separator/>
      </w:r>
    </w:p>
  </w:footnote>
  <w:footnote w:type="continuationSeparator" w:id="0">
    <w:p w14:paraId="7DCDCC8D" w14:textId="77777777" w:rsidR="009C37C1" w:rsidRDefault="009C37C1" w:rsidP="00E52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4A6"/>
    <w:multiLevelType w:val="multilevel"/>
    <w:tmpl w:val="F68E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0F7"/>
    <w:multiLevelType w:val="multilevel"/>
    <w:tmpl w:val="7B0E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27D18"/>
    <w:multiLevelType w:val="multilevel"/>
    <w:tmpl w:val="9860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B7739"/>
    <w:multiLevelType w:val="multilevel"/>
    <w:tmpl w:val="52F2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F07DD"/>
    <w:multiLevelType w:val="multilevel"/>
    <w:tmpl w:val="C696E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D4975"/>
    <w:multiLevelType w:val="multilevel"/>
    <w:tmpl w:val="93EA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D4895"/>
    <w:multiLevelType w:val="multilevel"/>
    <w:tmpl w:val="9226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C5202"/>
    <w:multiLevelType w:val="multilevel"/>
    <w:tmpl w:val="DA86FC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778C4"/>
    <w:multiLevelType w:val="multilevel"/>
    <w:tmpl w:val="B140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F081E"/>
    <w:multiLevelType w:val="multilevel"/>
    <w:tmpl w:val="14AA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917056"/>
    <w:multiLevelType w:val="multilevel"/>
    <w:tmpl w:val="DBBE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96744"/>
    <w:multiLevelType w:val="multilevel"/>
    <w:tmpl w:val="F45A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40C45"/>
    <w:multiLevelType w:val="multilevel"/>
    <w:tmpl w:val="A4969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47160"/>
    <w:multiLevelType w:val="multilevel"/>
    <w:tmpl w:val="9456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11025C"/>
    <w:multiLevelType w:val="multilevel"/>
    <w:tmpl w:val="76B8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3F6A36"/>
    <w:multiLevelType w:val="multilevel"/>
    <w:tmpl w:val="BE84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A41960"/>
    <w:multiLevelType w:val="multilevel"/>
    <w:tmpl w:val="7646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11D43"/>
    <w:multiLevelType w:val="multilevel"/>
    <w:tmpl w:val="9EAC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21D80"/>
    <w:multiLevelType w:val="multilevel"/>
    <w:tmpl w:val="FC5C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8772E3"/>
    <w:multiLevelType w:val="multilevel"/>
    <w:tmpl w:val="A086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925005"/>
    <w:multiLevelType w:val="multilevel"/>
    <w:tmpl w:val="2A24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44121"/>
    <w:multiLevelType w:val="multilevel"/>
    <w:tmpl w:val="A664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F53B8D"/>
    <w:multiLevelType w:val="multilevel"/>
    <w:tmpl w:val="8972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A016BE"/>
    <w:multiLevelType w:val="multilevel"/>
    <w:tmpl w:val="7B7A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1F7622"/>
    <w:multiLevelType w:val="multilevel"/>
    <w:tmpl w:val="720E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C67BB1"/>
    <w:multiLevelType w:val="multilevel"/>
    <w:tmpl w:val="0C62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D27D35"/>
    <w:multiLevelType w:val="multilevel"/>
    <w:tmpl w:val="4D50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4"/>
  </w:num>
  <w:num w:numId="3">
    <w:abstractNumId w:val="7"/>
  </w:num>
  <w:num w:numId="4">
    <w:abstractNumId w:val="3"/>
  </w:num>
  <w:num w:numId="5">
    <w:abstractNumId w:val="6"/>
  </w:num>
  <w:num w:numId="6">
    <w:abstractNumId w:val="17"/>
  </w:num>
  <w:num w:numId="7">
    <w:abstractNumId w:val="5"/>
  </w:num>
  <w:num w:numId="8">
    <w:abstractNumId w:val="2"/>
  </w:num>
  <w:num w:numId="9">
    <w:abstractNumId w:val="11"/>
  </w:num>
  <w:num w:numId="10">
    <w:abstractNumId w:val="4"/>
  </w:num>
  <w:num w:numId="11">
    <w:abstractNumId w:val="9"/>
  </w:num>
  <w:num w:numId="12">
    <w:abstractNumId w:val="0"/>
  </w:num>
  <w:num w:numId="13">
    <w:abstractNumId w:val="24"/>
  </w:num>
  <w:num w:numId="14">
    <w:abstractNumId w:val="20"/>
  </w:num>
  <w:num w:numId="15">
    <w:abstractNumId w:val="25"/>
  </w:num>
  <w:num w:numId="16">
    <w:abstractNumId w:val="15"/>
  </w:num>
  <w:num w:numId="17">
    <w:abstractNumId w:val="23"/>
  </w:num>
  <w:num w:numId="18">
    <w:abstractNumId w:val="21"/>
  </w:num>
  <w:num w:numId="19">
    <w:abstractNumId w:val="10"/>
  </w:num>
  <w:num w:numId="20">
    <w:abstractNumId w:val="18"/>
  </w:num>
  <w:num w:numId="21">
    <w:abstractNumId w:val="26"/>
  </w:num>
  <w:num w:numId="22">
    <w:abstractNumId w:val="1"/>
  </w:num>
  <w:num w:numId="23">
    <w:abstractNumId w:val="16"/>
  </w:num>
  <w:num w:numId="24">
    <w:abstractNumId w:val="8"/>
  </w:num>
  <w:num w:numId="25">
    <w:abstractNumId w:val="13"/>
  </w:num>
  <w:num w:numId="26">
    <w:abstractNumId w:val="12"/>
  </w:num>
  <w:num w:numId="27">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3C"/>
    <w:rsid w:val="000A43B0"/>
    <w:rsid w:val="00113836"/>
    <w:rsid w:val="002C0BD8"/>
    <w:rsid w:val="003517DC"/>
    <w:rsid w:val="00356875"/>
    <w:rsid w:val="003A5A7B"/>
    <w:rsid w:val="00503AF2"/>
    <w:rsid w:val="00573C53"/>
    <w:rsid w:val="00603486"/>
    <w:rsid w:val="00663AF5"/>
    <w:rsid w:val="006E1CCF"/>
    <w:rsid w:val="007B303C"/>
    <w:rsid w:val="008B4F86"/>
    <w:rsid w:val="009C37C1"/>
    <w:rsid w:val="00A30E44"/>
    <w:rsid w:val="00AA179D"/>
    <w:rsid w:val="00B96948"/>
    <w:rsid w:val="00BC3FBA"/>
    <w:rsid w:val="00BD6C06"/>
    <w:rsid w:val="00BE1E90"/>
    <w:rsid w:val="00C17FCB"/>
    <w:rsid w:val="00C24C66"/>
    <w:rsid w:val="00C70BEB"/>
    <w:rsid w:val="00C74D7B"/>
    <w:rsid w:val="00D161A1"/>
    <w:rsid w:val="00D212E9"/>
    <w:rsid w:val="00DA6EB0"/>
    <w:rsid w:val="00DC69A5"/>
    <w:rsid w:val="00DE3204"/>
    <w:rsid w:val="00E52B3B"/>
    <w:rsid w:val="00EC5A1B"/>
    <w:rsid w:val="00F42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0178E"/>
  <w15:chartTrackingRefBased/>
  <w15:docId w15:val="{91788931-FCD7-446C-B7C8-5CDCBD739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6C06"/>
    <w:pPr>
      <w:widowControl w:val="0"/>
      <w:jc w:val="both"/>
    </w:pPr>
  </w:style>
  <w:style w:type="paragraph" w:styleId="1">
    <w:name w:val="heading 1"/>
    <w:basedOn w:val="a"/>
    <w:link w:val="10"/>
    <w:uiPriority w:val="9"/>
    <w:qFormat/>
    <w:rsid w:val="00E52B3B"/>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52B3B"/>
    <w:pPr>
      <w:widowControl/>
      <w:spacing w:before="100" w:beforeAutospacing="1" w:after="100" w:afterAutospacing="1"/>
      <w:jc w:val="left"/>
      <w:outlineLvl w:val="1"/>
    </w:pPr>
    <w:rPr>
      <w:rFonts w:ascii="宋体" w:eastAsia="宋体" w:hAnsi="宋体" w:cs="宋体"/>
      <w:b/>
      <w:bCs/>
      <w:kern w:val="0"/>
      <w:sz w:val="36"/>
      <w:szCs w:val="36"/>
    </w:rPr>
  </w:style>
  <w:style w:type="paragraph" w:styleId="6">
    <w:name w:val="heading 6"/>
    <w:basedOn w:val="a"/>
    <w:next w:val="a"/>
    <w:link w:val="60"/>
    <w:uiPriority w:val="9"/>
    <w:semiHidden/>
    <w:unhideWhenUsed/>
    <w:qFormat/>
    <w:rsid w:val="003517DC"/>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2B3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2B3B"/>
    <w:rPr>
      <w:sz w:val="18"/>
      <w:szCs w:val="18"/>
    </w:rPr>
  </w:style>
  <w:style w:type="paragraph" w:styleId="a5">
    <w:name w:val="footer"/>
    <w:basedOn w:val="a"/>
    <w:link w:val="a6"/>
    <w:uiPriority w:val="99"/>
    <w:unhideWhenUsed/>
    <w:rsid w:val="00E52B3B"/>
    <w:pPr>
      <w:tabs>
        <w:tab w:val="center" w:pos="4153"/>
        <w:tab w:val="right" w:pos="8306"/>
      </w:tabs>
      <w:snapToGrid w:val="0"/>
      <w:jc w:val="left"/>
    </w:pPr>
    <w:rPr>
      <w:sz w:val="18"/>
      <w:szCs w:val="18"/>
    </w:rPr>
  </w:style>
  <w:style w:type="character" w:customStyle="1" w:styleId="a6">
    <w:name w:val="页脚 字符"/>
    <w:basedOn w:val="a0"/>
    <w:link w:val="a5"/>
    <w:uiPriority w:val="99"/>
    <w:rsid w:val="00E52B3B"/>
    <w:rPr>
      <w:sz w:val="18"/>
      <w:szCs w:val="18"/>
    </w:rPr>
  </w:style>
  <w:style w:type="character" w:customStyle="1" w:styleId="10">
    <w:name w:val="标题 1 字符"/>
    <w:basedOn w:val="a0"/>
    <w:link w:val="1"/>
    <w:uiPriority w:val="9"/>
    <w:rsid w:val="00E52B3B"/>
    <w:rPr>
      <w:rFonts w:ascii="宋体" w:eastAsia="宋体" w:hAnsi="宋体" w:cs="宋体"/>
      <w:b/>
      <w:bCs/>
      <w:kern w:val="36"/>
      <w:sz w:val="48"/>
      <w:szCs w:val="48"/>
    </w:rPr>
  </w:style>
  <w:style w:type="character" w:customStyle="1" w:styleId="20">
    <w:name w:val="标题 2 字符"/>
    <w:basedOn w:val="a0"/>
    <w:link w:val="2"/>
    <w:uiPriority w:val="9"/>
    <w:rsid w:val="00E52B3B"/>
    <w:rPr>
      <w:rFonts w:ascii="宋体" w:eastAsia="宋体" w:hAnsi="宋体" w:cs="宋体"/>
      <w:b/>
      <w:bCs/>
      <w:kern w:val="0"/>
      <w:sz w:val="36"/>
      <w:szCs w:val="36"/>
    </w:rPr>
  </w:style>
  <w:style w:type="paragraph" w:styleId="a7">
    <w:name w:val="Normal (Web)"/>
    <w:basedOn w:val="a"/>
    <w:uiPriority w:val="99"/>
    <w:semiHidden/>
    <w:unhideWhenUsed/>
    <w:rsid w:val="00E52B3B"/>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E52B3B"/>
    <w:rPr>
      <w:b/>
      <w:bCs/>
    </w:rPr>
  </w:style>
  <w:style w:type="character" w:customStyle="1" w:styleId="60">
    <w:name w:val="标题 6 字符"/>
    <w:basedOn w:val="a0"/>
    <w:link w:val="6"/>
    <w:uiPriority w:val="9"/>
    <w:semiHidden/>
    <w:rsid w:val="003517DC"/>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23784">
      <w:bodyDiv w:val="1"/>
      <w:marLeft w:val="0"/>
      <w:marRight w:val="0"/>
      <w:marTop w:val="0"/>
      <w:marBottom w:val="0"/>
      <w:divBdr>
        <w:top w:val="none" w:sz="0" w:space="0" w:color="auto"/>
        <w:left w:val="none" w:sz="0" w:space="0" w:color="auto"/>
        <w:bottom w:val="none" w:sz="0" w:space="0" w:color="auto"/>
        <w:right w:val="none" w:sz="0" w:space="0" w:color="auto"/>
      </w:divBdr>
      <w:divsChild>
        <w:div w:id="945115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2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57502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79968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84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3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290362">
      <w:bodyDiv w:val="1"/>
      <w:marLeft w:val="0"/>
      <w:marRight w:val="0"/>
      <w:marTop w:val="0"/>
      <w:marBottom w:val="0"/>
      <w:divBdr>
        <w:top w:val="none" w:sz="0" w:space="0" w:color="auto"/>
        <w:left w:val="none" w:sz="0" w:space="0" w:color="auto"/>
        <w:bottom w:val="none" w:sz="0" w:space="0" w:color="auto"/>
        <w:right w:val="none" w:sz="0" w:space="0" w:color="auto"/>
      </w:divBdr>
    </w:div>
    <w:div w:id="728891796">
      <w:bodyDiv w:val="1"/>
      <w:marLeft w:val="0"/>
      <w:marRight w:val="0"/>
      <w:marTop w:val="0"/>
      <w:marBottom w:val="0"/>
      <w:divBdr>
        <w:top w:val="none" w:sz="0" w:space="0" w:color="auto"/>
        <w:left w:val="none" w:sz="0" w:space="0" w:color="auto"/>
        <w:bottom w:val="none" w:sz="0" w:space="0" w:color="auto"/>
        <w:right w:val="none" w:sz="0" w:space="0" w:color="auto"/>
      </w:divBdr>
    </w:div>
    <w:div w:id="847061025">
      <w:bodyDiv w:val="1"/>
      <w:marLeft w:val="0"/>
      <w:marRight w:val="0"/>
      <w:marTop w:val="0"/>
      <w:marBottom w:val="0"/>
      <w:divBdr>
        <w:top w:val="none" w:sz="0" w:space="0" w:color="auto"/>
        <w:left w:val="none" w:sz="0" w:space="0" w:color="auto"/>
        <w:bottom w:val="none" w:sz="0" w:space="0" w:color="auto"/>
        <w:right w:val="none" w:sz="0" w:space="0" w:color="auto"/>
      </w:divBdr>
    </w:div>
    <w:div w:id="877595451">
      <w:bodyDiv w:val="1"/>
      <w:marLeft w:val="0"/>
      <w:marRight w:val="0"/>
      <w:marTop w:val="0"/>
      <w:marBottom w:val="0"/>
      <w:divBdr>
        <w:top w:val="none" w:sz="0" w:space="0" w:color="auto"/>
        <w:left w:val="none" w:sz="0" w:space="0" w:color="auto"/>
        <w:bottom w:val="none" w:sz="0" w:space="0" w:color="auto"/>
        <w:right w:val="none" w:sz="0" w:space="0" w:color="auto"/>
      </w:divBdr>
    </w:div>
    <w:div w:id="1028993542">
      <w:bodyDiv w:val="1"/>
      <w:marLeft w:val="0"/>
      <w:marRight w:val="0"/>
      <w:marTop w:val="0"/>
      <w:marBottom w:val="0"/>
      <w:divBdr>
        <w:top w:val="none" w:sz="0" w:space="0" w:color="auto"/>
        <w:left w:val="none" w:sz="0" w:space="0" w:color="auto"/>
        <w:bottom w:val="none" w:sz="0" w:space="0" w:color="auto"/>
        <w:right w:val="none" w:sz="0" w:space="0" w:color="auto"/>
      </w:divBdr>
      <w:divsChild>
        <w:div w:id="1810397704">
          <w:marLeft w:val="0"/>
          <w:marRight w:val="0"/>
          <w:marTop w:val="0"/>
          <w:marBottom w:val="0"/>
          <w:divBdr>
            <w:top w:val="none" w:sz="0" w:space="0" w:color="auto"/>
            <w:left w:val="none" w:sz="0" w:space="0" w:color="auto"/>
            <w:bottom w:val="none" w:sz="0" w:space="0" w:color="auto"/>
            <w:right w:val="none" w:sz="0" w:space="0" w:color="auto"/>
          </w:divBdr>
          <w:divsChild>
            <w:div w:id="1912498700">
              <w:marLeft w:val="0"/>
              <w:marRight w:val="0"/>
              <w:marTop w:val="0"/>
              <w:marBottom w:val="0"/>
              <w:divBdr>
                <w:top w:val="none" w:sz="0" w:space="0" w:color="auto"/>
                <w:left w:val="none" w:sz="0" w:space="0" w:color="auto"/>
                <w:bottom w:val="none" w:sz="0" w:space="0" w:color="auto"/>
                <w:right w:val="none" w:sz="0" w:space="0" w:color="auto"/>
              </w:divBdr>
              <w:divsChild>
                <w:div w:id="881597205">
                  <w:marLeft w:val="0"/>
                  <w:marRight w:val="0"/>
                  <w:marTop w:val="0"/>
                  <w:marBottom w:val="0"/>
                  <w:divBdr>
                    <w:top w:val="none" w:sz="0" w:space="0" w:color="auto"/>
                    <w:left w:val="none" w:sz="0" w:space="0" w:color="auto"/>
                    <w:bottom w:val="none" w:sz="0" w:space="0" w:color="auto"/>
                    <w:right w:val="none" w:sz="0" w:space="0" w:color="auto"/>
                  </w:divBdr>
                  <w:divsChild>
                    <w:div w:id="1185362018">
                      <w:marLeft w:val="0"/>
                      <w:marRight w:val="0"/>
                      <w:marTop w:val="0"/>
                      <w:marBottom w:val="0"/>
                      <w:divBdr>
                        <w:top w:val="none" w:sz="0" w:space="0" w:color="auto"/>
                        <w:left w:val="none" w:sz="0" w:space="0" w:color="auto"/>
                        <w:bottom w:val="none" w:sz="0" w:space="0" w:color="auto"/>
                        <w:right w:val="none" w:sz="0" w:space="0" w:color="auto"/>
                      </w:divBdr>
                      <w:divsChild>
                        <w:div w:id="1192840629">
                          <w:marLeft w:val="0"/>
                          <w:marRight w:val="0"/>
                          <w:marTop w:val="0"/>
                          <w:marBottom w:val="0"/>
                          <w:divBdr>
                            <w:top w:val="none" w:sz="0" w:space="0" w:color="auto"/>
                            <w:left w:val="none" w:sz="0" w:space="0" w:color="auto"/>
                            <w:bottom w:val="none" w:sz="0" w:space="0" w:color="auto"/>
                            <w:right w:val="none" w:sz="0" w:space="0" w:color="auto"/>
                          </w:divBdr>
                          <w:divsChild>
                            <w:div w:id="386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528513">
      <w:bodyDiv w:val="1"/>
      <w:marLeft w:val="0"/>
      <w:marRight w:val="0"/>
      <w:marTop w:val="0"/>
      <w:marBottom w:val="0"/>
      <w:divBdr>
        <w:top w:val="none" w:sz="0" w:space="0" w:color="auto"/>
        <w:left w:val="none" w:sz="0" w:space="0" w:color="auto"/>
        <w:bottom w:val="none" w:sz="0" w:space="0" w:color="auto"/>
        <w:right w:val="none" w:sz="0" w:space="0" w:color="auto"/>
      </w:divBdr>
    </w:div>
    <w:div w:id="1353192923">
      <w:bodyDiv w:val="1"/>
      <w:marLeft w:val="0"/>
      <w:marRight w:val="0"/>
      <w:marTop w:val="0"/>
      <w:marBottom w:val="0"/>
      <w:divBdr>
        <w:top w:val="none" w:sz="0" w:space="0" w:color="auto"/>
        <w:left w:val="none" w:sz="0" w:space="0" w:color="auto"/>
        <w:bottom w:val="none" w:sz="0" w:space="0" w:color="auto"/>
        <w:right w:val="none" w:sz="0" w:space="0" w:color="auto"/>
      </w:divBdr>
    </w:div>
    <w:div w:id="1466503375">
      <w:bodyDiv w:val="1"/>
      <w:marLeft w:val="0"/>
      <w:marRight w:val="0"/>
      <w:marTop w:val="0"/>
      <w:marBottom w:val="0"/>
      <w:divBdr>
        <w:top w:val="none" w:sz="0" w:space="0" w:color="auto"/>
        <w:left w:val="none" w:sz="0" w:space="0" w:color="auto"/>
        <w:bottom w:val="none" w:sz="0" w:space="0" w:color="auto"/>
        <w:right w:val="none" w:sz="0" w:space="0" w:color="auto"/>
      </w:divBdr>
    </w:div>
    <w:div w:id="1644657985">
      <w:bodyDiv w:val="1"/>
      <w:marLeft w:val="0"/>
      <w:marRight w:val="0"/>
      <w:marTop w:val="0"/>
      <w:marBottom w:val="0"/>
      <w:divBdr>
        <w:top w:val="none" w:sz="0" w:space="0" w:color="auto"/>
        <w:left w:val="none" w:sz="0" w:space="0" w:color="auto"/>
        <w:bottom w:val="none" w:sz="0" w:space="0" w:color="auto"/>
        <w:right w:val="none" w:sz="0" w:space="0" w:color="auto"/>
      </w:divBdr>
    </w:div>
    <w:div w:id="1987782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48</cp:revision>
  <dcterms:created xsi:type="dcterms:W3CDTF">2025-11-08T02:51:00Z</dcterms:created>
  <dcterms:modified xsi:type="dcterms:W3CDTF">2025-11-08T03:54:00Z</dcterms:modified>
</cp:coreProperties>
</file>