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Classification methods for curriculum datasets</w:t>
      </w:r>
    </w:p>
    <w:p>
      <w:r>
        <w:t>Five supervised classification examples connect curriculum data to a clear target and an appropriate estimator. The key requirement is a valid labeled problem with leakage-free evaluation; algorithm choice alone cannot guarantee accuracy.</w:t>
      </w:r>
    </w:p>
    <w:tbl>
      <w:tblPr>
        <w:tblStyle w:val="TableGrid"/>
        <w:tblW w:type="auto" w:w="0"/>
        <w:tblLayout w:type="fixed"/>
        <w:tblLook w:firstColumn="1" w:firstRow="1" w:lastColumn="0" w:lastRow="0" w:noHBand="0" w:noVBand="1" w:val="04A0"/>
      </w:tblPr>
      <w:tblGrid>
        <w:gridCol w:w="1728"/>
        <w:gridCol w:w="1872"/>
        <w:gridCol w:w="3744"/>
        <w:gridCol w:w="7344"/>
      </w:tblGrid>
      <w:tr>
        <w:trPr>
          <w:tblHeader/>
        </w:trPr>
        <w:tc>
          <w:tcPr>
            <w:tcW w:type="dxa" w:w="1728"/>
          </w:tcPr>
          <w:p>
            <w:r>
              <w:t>Algorithm</w:t>
            </w:r>
          </w:p>
        </w:tc>
        <w:tc>
          <w:tcPr>
            <w:tcW w:type="dxa" w:w="1872"/>
          </w:tcPr>
          <w:p>
            <w:r>
              <w:t>Classification task</w:t>
            </w:r>
          </w:p>
        </w:tc>
        <w:tc>
          <w:tcPr>
            <w:tcW w:type="dxa" w:w="3744"/>
          </w:tcPr>
          <w:p>
            <w:r>
              <w:t>Dataset and question</w:t>
            </w:r>
          </w:p>
        </w:tc>
        <w:tc>
          <w:tcPr>
            <w:tcW w:type="dxa" w:w="7344"/>
          </w:tcPr>
          <w:p>
            <w:r>
              <w:t>How the data fits and what to check</w:t>
            </w:r>
          </w:p>
        </w:tc>
      </w:tr>
      <w:tr>
        <w:trPr>
          <w:cantSplit/>
        </w:trPr>
        <w:tc>
          <w:tcPr>
            <w:tcW w:type="dxa" w:w="1800"/>
          </w:tcPr>
          <w:p>
            <w:pPr>
              <w:spacing w:after="80"/>
            </w:pPr>
            <w:r>
              <w:rPr>
                <w:sz w:val="20"/>
              </w:rPr>
              <w:t>Logistic regression</w:t>
            </w:r>
          </w:p>
        </w:tc>
        <w:tc>
          <w:tcPr>
            <w:tcW w:type="dxa" w:w="1800"/>
          </w:tcPr>
          <w:p>
            <w:pPr>
              <w:spacing w:after="80"/>
            </w:pPr>
            <w:r>
              <w:rPr>
                <w:sz w:val="20"/>
              </w:rPr>
              <w:t>Binary pumpkin color</w:t>
            </w:r>
          </w:p>
        </w:tc>
        <w:tc>
          <w:tcPr>
            <w:tcW w:type="dxa" w:w="3744"/>
          </w:tcPr>
          <w:p>
            <w:pPr>
              <w:spacing w:after="80"/>
            </w:pPr>
            <w:r>
              <w:rPr>
                <w:sz w:val="20"/>
              </w:rPr>
              <w:t>2-Regression/data/US-pumpkins.csv</w:t>
              <w:br/>
              <w:t>Question: Is a pumpkin orange rather than another recorded color?</w:t>
            </w:r>
          </w:p>
        </w:tc>
        <w:tc>
          <w:tcPr>
            <w:tcW w:type="dxa" w:w="7344"/>
          </w:tcPr>
          <w:p>
            <w:pPr>
              <w:spacing w:after="80"/>
            </w:pPr>
            <w:r>
              <w:rPr>
                <w:sz w:val="20"/>
              </w:rPr>
              <w:t>Use known-color rows; exclude Color from inputs. Impute numeric prices and one-hot encode package, variety, and city inside a training pipeline. Logistic regression is a regularized linear baseline with probability estimates. Evaluate minority recall and F1; correlated market reports require grouped or time-based splits.</w:t>
            </w:r>
          </w:p>
        </w:tc>
      </w:tr>
      <w:tr>
        <w:trPr>
          <w:cantSplit/>
        </w:trPr>
        <w:tc>
          <w:tcPr>
            <w:tcW w:type="dxa" w:w="1800"/>
          </w:tcPr>
          <w:p>
            <w:pPr>
              <w:spacing w:after="80"/>
            </w:pPr>
            <w:r>
              <w:rPr>
                <w:sz w:val="20"/>
              </w:rPr>
              <w:t>K-nearest neighbors</w:t>
            </w:r>
          </w:p>
        </w:tc>
        <w:tc>
          <w:tcPr>
            <w:tcW w:type="dxa" w:w="1800"/>
          </w:tcPr>
          <w:p>
            <w:pPr>
              <w:spacing w:after="80"/>
            </w:pPr>
            <w:r>
              <w:rPr>
                <w:sz w:val="20"/>
              </w:rPr>
              <w:t>Multiclass UFO reporting country</w:t>
            </w:r>
          </w:p>
        </w:tc>
        <w:tc>
          <w:tcPr>
            <w:tcW w:type="dxa" w:w="3744"/>
          </w:tcPr>
          <w:p>
            <w:pPr>
              <w:spacing w:after="80"/>
            </w:pPr>
            <w:r>
              <w:rPr>
                <w:sz w:val="20"/>
              </w:rPr>
              <w:t>3-Web-App/1-Web-App/data/ufos.csv</w:t>
              <w:br/>
              <w:t>Question: Which recorded country matches duration and coordinates?</w:t>
            </w:r>
          </w:p>
        </w:tc>
        <w:tc>
          <w:tcPr>
            <w:tcW w:type="dxa" w:w="7344"/>
          </w:tcPr>
          <w:p>
            <w:pPr>
              <w:spacing w:after="80"/>
            </w:pPr>
            <w:r>
              <w:rPr>
                <w:sz w:val="20"/>
              </w:rPr>
              <w:t>Keep valid, labeled sightings and standardize duration and coordinates using training data. Neighbors vote for the class. Tune neighbor count on validation data. Coordinates dominate this task; degrees are not uniform geographic distances, and class imbalance can overwhelm rare countries. This is a classroom classifier, not a border lookup.</w:t>
            </w:r>
          </w:p>
        </w:tc>
      </w:tr>
      <w:tr>
        <w:trPr>
          <w:cantSplit/>
        </w:trPr>
        <w:tc>
          <w:tcPr>
            <w:tcW w:type="dxa" w:w="1800"/>
          </w:tcPr>
          <w:p>
            <w:pPr>
              <w:spacing w:after="80"/>
            </w:pPr>
            <w:r>
              <w:rPr>
                <w:sz w:val="20"/>
              </w:rPr>
              <w:t>Bernoulli naive Bayes</w:t>
            </w:r>
          </w:p>
        </w:tc>
        <w:tc>
          <w:tcPr>
            <w:tcW w:type="dxa" w:w="1800"/>
          </w:tcPr>
          <w:p>
            <w:pPr>
              <w:spacing w:after="80"/>
            </w:pPr>
            <w:r>
              <w:rPr>
                <w:sz w:val="20"/>
              </w:rPr>
              <w:t>Multiclass cuisine</w:t>
            </w:r>
          </w:p>
        </w:tc>
        <w:tc>
          <w:tcPr>
            <w:tcW w:type="dxa" w:w="3744"/>
          </w:tcPr>
          <w:p>
            <w:pPr>
              <w:spacing w:after="80"/>
            </w:pPr>
            <w:r>
              <w:rPr>
                <w:sz w:val="20"/>
              </w:rPr>
              <w:t>4-Classification/data/cuisines.csv</w:t>
              <w:br/>
              <w:t>Question: Which of five cuisine labels matches binary ingredient presence?</w:t>
            </w:r>
          </w:p>
        </w:tc>
        <w:tc>
          <w:tcPr>
            <w:tcW w:type="dxa" w:w="7344"/>
          </w:tcPr>
          <w:p>
            <w:pPr>
              <w:spacing w:after="80"/>
            </w:pPr>
            <w:r>
              <w:rPr>
                <w:sz w:val="20"/>
              </w:rPr>
              <w:t>Use ingredient flags and remove the label and row identifier. Bernoulli likelihoods fit binary features, including absence. Additive smoothing prevents zero likelihoods for unseen ingredients. Its conditional-independence assumption is unrealistic for ingredients often used together, but it gives a fast baseline. Report macro F1 on untouched recipes.</w:t>
            </w:r>
          </w:p>
        </w:tc>
      </w:tr>
      <w:tr>
        <w:trPr>
          <w:cantSplit/>
        </w:trPr>
        <w:tc>
          <w:tcPr>
            <w:tcW w:type="dxa" w:w="1800"/>
          </w:tcPr>
          <w:p>
            <w:pPr>
              <w:spacing w:after="80"/>
            </w:pPr>
            <w:r>
              <w:rPr>
                <w:sz w:val="20"/>
              </w:rPr>
              <w:t>Decision tree</w:t>
            </w:r>
          </w:p>
        </w:tc>
        <w:tc>
          <w:tcPr>
            <w:tcW w:type="dxa" w:w="1800"/>
          </w:tcPr>
          <w:p>
            <w:pPr>
              <w:spacing w:after="80"/>
            </w:pPr>
            <w:r>
              <w:rPr>
                <w:sz w:val="20"/>
              </w:rPr>
              <w:t>Binary ingredient use</w:t>
            </w:r>
          </w:p>
        </w:tc>
        <w:tc>
          <w:tcPr>
            <w:tcW w:type="dxa" w:w="3744"/>
          </w:tcPr>
          <w:p>
            <w:pPr>
              <w:spacing w:after="80"/>
            </w:pPr>
            <w:r>
              <w:rPr>
                <w:sz w:val="20"/>
              </w:rPr>
              <w:t>4-Classification/data/cuisines.csv</w:t>
              <w:br/>
              <w:t>Question: Does a recipe contain fenugreek?</w:t>
            </w:r>
          </w:p>
        </w:tc>
        <w:tc>
          <w:tcPr>
            <w:tcW w:type="dxa" w:w="7344"/>
          </w:tcPr>
          <w:p>
            <w:pPr>
              <w:spacing w:after="80"/>
            </w:pPr>
            <w:r>
              <w:rPr>
                <w:sz w:val="20"/>
              </w:rPr>
              <w:t>Make fenugreek the target and remove that column from the predictors. Other ingredient flags supply yes/no splits. Limit depth or leaf size to avoid memorizing uncommon recipes. A shallow tree can be inspected, but a single tree is unstable. Compare precision and recall with a no-fenugreek baseline.</w:t>
            </w:r>
          </w:p>
        </w:tc>
      </w:tr>
      <w:tr>
        <w:trPr>
          <w:cantSplit/>
        </w:trPr>
        <w:tc>
          <w:tcPr>
            <w:tcW w:type="dxa" w:w="1800"/>
          </w:tcPr>
          <w:p>
            <w:pPr>
              <w:spacing w:after="80"/>
            </w:pPr>
            <w:r>
              <w:rPr>
                <w:sz w:val="20"/>
              </w:rPr>
              <w:t>Random forest</w:t>
            </w:r>
          </w:p>
        </w:tc>
        <w:tc>
          <w:tcPr>
            <w:tcW w:type="dxa" w:w="1800"/>
          </w:tcPr>
          <w:p>
            <w:pPr>
              <w:spacing w:after="80"/>
            </w:pPr>
            <w:r>
              <w:rPr>
                <w:sz w:val="20"/>
              </w:rPr>
              <w:t>Multiclass pumpkin color</w:t>
            </w:r>
          </w:p>
        </w:tc>
        <w:tc>
          <w:tcPr>
            <w:tcW w:type="dxa" w:w="3744"/>
          </w:tcPr>
          <w:p>
            <w:pPr>
              <w:spacing w:after="80"/>
            </w:pPr>
            <w:r>
              <w:rPr>
                <w:sz w:val="20"/>
              </w:rPr>
              <w:t>2-Regression/data/US-pumpkins.csv</w:t>
              <w:br/>
              <w:t>Question: Which recorded color category belongs to a pumpkin?</w:t>
            </w:r>
          </w:p>
        </w:tc>
        <w:tc>
          <w:tcPr>
            <w:tcW w:type="dxa" w:w="7344"/>
          </w:tcPr>
          <w:p>
            <w:pPr>
              <w:spacing w:after="80"/>
            </w:pPr>
            <w:r>
              <w:rPr>
                <w:sz w:val="20"/>
              </w:rPr>
              <w:t>Impute numeric fields and encode categories, keeping Color exclusively as the target. Many randomized trees capture interactions such as variety with package or market. Tune depth and leaf size before final testing. Class weights may help rare colors; they do not repair missing representation or market leakage.</w:t>
            </w:r>
          </w:p>
        </w:tc>
      </w:tr>
    </w:tbl>
    <w:p>
      <w:pPr>
        <w:pStyle w:val="Heading2"/>
      </w:pPr>
      <w:r>
        <w:t>Sources</w:t>
      </w:r>
    </w:p>
    <w:p>
      <w:r>
        <w:t>Scikit-learn User Guide, accessed 18 October 2026: scikit-learn.org/stable/supervised_learning.html; modules/linear_model.html; modules/neighbors.html; modules/naive_bayes.html; modules/tree.html; modules/ensemble.html. Dataset paths are relative to the curriculum repository.</w:t>
      </w:r>
    </w:p>
    <w:sectPr w:rsidR="00FC693F" w:rsidRPr="0006063C" w:rsidSect="00034616">
      <w:pgSz w:w="16848" w:h="11952"/>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