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logistic regression solvers</w:t>
      </w:r>
    </w:p>
    <w:p>
      <w:r>
        <w:t>This assignment compares LIBLINEAR and L-BFGS for the cuisine classification exercise. L-BFGS is my starting choice for joint multiclass fitting; LIBLINEAR is useful when binary classification or L1 sparsity is the main requirement.</w:t>
      </w:r>
    </w:p>
    <w:p>
      <w:r>
        <w:t>LIBLINEAR solves regularized binary logistic-regression problems and works with dense or sparse feature matrices. Its coordinate-descent methods update model variables iteratively; the exact formulation depends on the selected penalty and primal or dual setting. It supports L1 and L2 penalties, which makes it useful for a small or medium binary task or when sparse coefficients are wanted. For our five cuisine labels, I wrap it in OneVsRestClassifier, fitting one binary problem per cuisine. That is easy to interpret but does not directly optimize a joint multinomial objective. The binary ingredient matrix suits this approach; for a much larger dataset I would compare more scalable solvers rather than assuming it remains fastest.</w:t>
      </w:r>
    </w:p>
    <w:p>
      <w:r>
        <w:t>L-BFGS uses a limited-memory approximation to curvature to choose successive optimization steps, avoiding storage of a full Hessian. In Scikit-learn logistic regression it supports the joint multinomial objective and L2 or no regularization, but not an L1 penalty. It accepts dense and sparse input; similarly scaled features and a sufficient iteration limit help convergence. I would choose it as the starting point for our moderate-sized five-class cuisine problem because it learns the classes jointly without five separate binary fits. I would choose LIBLINEAR instead when binary classification and L1 sparsity are priorities. Our notebook compares LIBLINEAR with one-versus-rest against multinomial L-BFGS, so differences reflect the multiclass formulation as well as the solver; they are not a pure speed or solver-quality comparison.</w:t>
      </w:r>
    </w:p>
    <w:p>
      <w:pPr>
        <w:pStyle w:val="Heading2"/>
      </w:pPr>
      <w:r>
        <w:t>Source</w:t>
      </w:r>
    </w:p>
    <w:p>
      <w:r>
        <w:t>Scikit-learn User Guide, Logistic regression, accessed 18 October 2026. https://scikit-learn.org/stable/modules/linear_model.html#logistic-regression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