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IS630 Project Ideas — Combined Evaluation Matrix</w:t>
      </w:r>
    </w:p>
    <w:p>
      <w:r>
        <w:rPr>
          <w:b/>
        </w:rPr>
        <w:t xml:space="preserve">Honest scores. </w:t>
      </w:r>
      <w:r>
        <w:t>Each cell shows the score (1-10) and a one-line justification. Spotify scores revised down from initial assessment for candour on novelty, depth, and "So what?" limitations.</w:t>
      </w:r>
    </w:p>
    <w:p/>
    <w:tbl>
      <w:tblPr>
        <w:tblStyle w:val="TableGrid"/>
        <w:tblW w:type="auto" w:w="0"/>
        <w:jc w:val="center"/>
        <w:tblLayout w:type="autofit"/>
        <w:tblLook w:firstColumn="1" w:firstRow="1" w:lastColumn="0" w:lastRow="0" w:noHBand="0" w:noVBand="1" w:val="04A0"/>
      </w:tblPr>
      <w:tblGrid>
        <w:gridCol w:w="960"/>
        <w:gridCol w:w="960"/>
        <w:gridCol w:w="960"/>
        <w:gridCol w:w="960"/>
        <w:gridCol w:w="960"/>
        <w:gridCol w:w="960"/>
        <w:gridCol w:w="960"/>
        <w:gridCol w:w="960"/>
        <w:gridCol w:w="960"/>
      </w:tblGrid>
      <w:tr>
        <w:tc>
          <w:tcPr>
            <w:tcW w:type="dxa" w:w="1247"/>
            <w:shd w:fill="D9E2F3" w:val="clear"/>
          </w:tcPr>
          <w:p>
            <w:pPr>
              <w:jc w:val="left"/>
            </w:pPr>
            <w:r/>
            <w:r>
              <w:rPr>
                <w:rFonts w:ascii="Calibri" w:hAnsi="Calibri"/>
                <w:b/>
                <w:sz w:val="18"/>
              </w:rPr>
              <w:t>Criterion</w:t>
            </w:r>
          </w:p>
        </w:tc>
        <w:tc>
          <w:tcPr>
            <w:tcW w:type="dxa" w:w="1814"/>
            <w:shd w:fill="D9E2F3" w:val="clear"/>
          </w:tcPr>
          <w:p>
            <w:pPr>
              <w:jc w:val="center"/>
            </w:pPr>
            <w:r/>
            <w:r>
              <w:rPr>
                <w:rFonts w:ascii="Calibri" w:hAnsi="Calibri"/>
                <w:b/>
                <w:sz w:val="16"/>
              </w:rPr>
              <w:t>Weather-</w:t>
              <w:br/>
              <w:t>Tourism</w:t>
            </w:r>
          </w:p>
        </w:tc>
        <w:tc>
          <w:tcPr>
            <w:tcW w:type="dxa" w:w="1814"/>
            <w:shd w:fill="D9E2F3" w:val="clear"/>
          </w:tcPr>
          <w:p>
            <w:pPr>
              <w:jc w:val="center"/>
            </w:pPr>
            <w:r/>
            <w:r>
              <w:rPr>
                <w:rFonts w:ascii="Calibri" w:hAnsi="Calibri"/>
                <w:b/>
                <w:sz w:val="16"/>
              </w:rPr>
              <w:t>Telecom</w:t>
              <w:br/>
              <w:t>Churn</w:t>
            </w:r>
          </w:p>
        </w:tc>
        <w:tc>
          <w:tcPr>
            <w:tcW w:type="dxa" w:w="1814"/>
            <w:shd w:fill="D9E2F3" w:val="clear"/>
          </w:tcPr>
          <w:p>
            <w:pPr>
              <w:jc w:val="center"/>
            </w:pPr>
            <w:r/>
            <w:r>
              <w:rPr>
                <w:rFonts w:ascii="Calibri" w:hAnsi="Calibri"/>
                <w:b/>
                <w:sz w:val="16"/>
              </w:rPr>
              <w:t>ESG</w:t>
              <w:br/>
              <w:t>Returns</w:t>
            </w:r>
          </w:p>
        </w:tc>
        <w:tc>
          <w:tcPr>
            <w:tcW w:type="dxa" w:w="1814"/>
            <w:shd w:fill="C6EFCE" w:val="clear"/>
          </w:tcPr>
          <w:p>
            <w:pPr>
              <w:jc w:val="center"/>
            </w:pPr>
            <w:r/>
            <w:r>
              <w:rPr>
                <w:rFonts w:ascii="Calibri" w:hAnsi="Calibri"/>
                <w:b/>
                <w:sz w:val="16"/>
              </w:rPr>
              <w:t>Spotify</w:t>
              <w:br/>
              <w:t>(Rec.)</w:t>
            </w:r>
          </w:p>
        </w:tc>
        <w:tc>
          <w:tcPr>
            <w:tcW w:type="dxa" w:w="1814"/>
            <w:shd w:fill="D9E2F3" w:val="clear"/>
          </w:tcPr>
          <w:p>
            <w:pPr>
              <w:jc w:val="center"/>
            </w:pPr>
            <w:r/>
            <w:r>
              <w:rPr>
                <w:rFonts w:ascii="Calibri" w:hAnsi="Calibri"/>
                <w:b/>
                <w:sz w:val="16"/>
              </w:rPr>
              <w:t>Speed</w:t>
              <w:br/>
              <w:t>Dating</w:t>
            </w:r>
          </w:p>
        </w:tc>
        <w:tc>
          <w:tcPr>
            <w:tcW w:type="dxa" w:w="1814"/>
            <w:shd w:fill="D9E2F3" w:val="clear"/>
          </w:tcPr>
          <w:p>
            <w:pPr>
              <w:jc w:val="center"/>
            </w:pPr>
            <w:r/>
            <w:r>
              <w:rPr>
                <w:rFonts w:ascii="Calibri" w:hAnsi="Calibri"/>
                <w:b/>
                <w:sz w:val="16"/>
              </w:rPr>
              <w:t>Diversi-</w:t>
              <w:br/>
              <w:t>fication</w:t>
            </w:r>
          </w:p>
        </w:tc>
        <w:tc>
          <w:tcPr>
            <w:tcW w:type="dxa" w:w="1814"/>
            <w:shd w:fill="D9E2F3" w:val="clear"/>
          </w:tcPr>
          <w:p>
            <w:pPr>
              <w:jc w:val="center"/>
            </w:pPr>
            <w:r/>
            <w:r>
              <w:rPr>
                <w:rFonts w:ascii="Calibri" w:hAnsi="Calibri"/>
                <w:b/>
                <w:sz w:val="16"/>
              </w:rPr>
              <w:t>Divi-</w:t>
              <w:br/>
              <w:t>dends</w:t>
            </w:r>
          </w:p>
        </w:tc>
        <w:tc>
          <w:tcPr>
            <w:tcW w:type="dxa" w:w="1814"/>
            <w:shd w:fill="D9E2F3" w:val="clear"/>
          </w:tcPr>
          <w:p>
            <w:pPr>
              <w:jc w:val="center"/>
            </w:pPr>
            <w:r/>
            <w:r>
              <w:rPr>
                <w:rFonts w:ascii="Calibri" w:hAnsi="Calibri"/>
                <w:b/>
                <w:sz w:val="16"/>
              </w:rPr>
              <w:t>SG</w:t>
              <w:br/>
              <w:t>Pools</w:t>
            </w:r>
          </w:p>
        </w:tc>
      </w:tr>
      <w:tr>
        <w:tc>
          <w:tcPr>
            <w:tcW w:type="dxa" w:w="1247"/>
            <w:shd w:fill="F2F2F2" w:val="clear"/>
          </w:tcPr>
          <w:p>
            <w:pPr>
              <w:jc w:val="left"/>
            </w:pPr>
            <w:r/>
            <w:r>
              <w:rPr>
                <w:rFonts w:ascii="Calibri" w:hAnsi="Calibri"/>
                <w:b/>
                <w:sz w:val="16"/>
              </w:rPr>
              <w:t>Course</w:t>
              <w:br/>
              <w:t>Alignment</w:t>
            </w:r>
          </w:p>
        </w:tc>
        <w:tc>
          <w:tcPr>
            <w:tcW w:type="dxa" w:w="1814"/>
            <w:shd w:fill="FFF2CC" w:val="clear"/>
          </w:tcPr>
          <w:p>
            <w:pPr>
              <w:jc w:val="left"/>
            </w:pPr>
            <w:r/>
            <w:r>
              <w:rPr>
                <w:rFonts w:ascii="Calibri" w:hAnsi="Calibri"/>
                <w:b w:val="0"/>
                <w:sz w:val="14"/>
              </w:rPr>
              <w:t>4 — Correlation/regression possible but 2.5C range means non-significant tests</w:t>
            </w:r>
          </w:p>
        </w:tc>
        <w:tc>
          <w:tcPr>
            <w:tcW w:type="dxa" w:w="1814"/>
            <w:shd w:fill="FFC7CE" w:val="clear"/>
          </w:tcPr>
          <w:p>
            <w:pPr>
              <w:jc w:val="left"/>
            </w:pPr>
            <w:r/>
            <w:r>
              <w:rPr>
                <w:rFonts w:ascii="Calibri" w:hAnsi="Calibri"/>
                <w:b w:val="0"/>
                <w:sz w:val="14"/>
              </w:rPr>
              <w:t>3 — Natural framing is ML classification, not statistical thinking</w:t>
            </w:r>
          </w:p>
        </w:tc>
        <w:tc>
          <w:tcPr>
            <w:tcW w:type="dxa" w:w="1814"/>
            <w:shd w:fill="FFEB9C" w:val="clear"/>
          </w:tcPr>
          <w:p>
            <w:pPr>
              <w:jc w:val="left"/>
            </w:pPr>
            <w:r/>
            <w:r>
              <w:rPr>
                <w:rFonts w:ascii="Calibri" w:hAnsi="Calibri"/>
                <w:b w:val="0"/>
                <w:sz w:val="14"/>
              </w:rPr>
              <w:t>6 — ANOVA, t-tests, F-test fit well; needs regression for confounders</w:t>
            </w:r>
          </w:p>
        </w:tc>
        <w:tc>
          <w:tcPr>
            <w:tcW w:type="dxa" w:w="1814"/>
            <w:shd w:fill="B7E1CD" w:val="clear"/>
          </w:tcPr>
          <w:p>
            <w:pPr>
              <w:jc w:val="left"/>
            </w:pPr>
            <w:r/>
            <w:r>
              <w:rPr>
                <w:rFonts w:ascii="Calibri" w:hAnsi="Calibri"/>
                <w:b w:val="0"/>
                <w:sz w:val="14"/>
              </w:rPr>
              <w:t>8 — T-tests, ANOVA, CIs, chi-squared, non-parametric all natural; Bayesian slightly forced</w:t>
            </w:r>
          </w:p>
        </w:tc>
        <w:tc>
          <w:tcPr>
            <w:tcW w:type="dxa" w:w="1814"/>
            <w:shd w:fill="FFEB9C" w:val="clear"/>
          </w:tcPr>
          <w:p>
            <w:pPr>
              <w:jc w:val="left"/>
            </w:pPr>
            <w:r/>
            <w:r>
              <w:rPr>
                <w:rFonts w:ascii="Calibri" w:hAnsi="Calibri"/>
                <w:b w:val="0"/>
                <w:sz w:val="14"/>
              </w:rPr>
              <w:t>6 — T-tests, paired t-tests, chi-squared, ANOVA apply; 195 cols invite p-hacking</w:t>
            </w:r>
          </w:p>
        </w:tc>
        <w:tc>
          <w:tcPr>
            <w:tcW w:type="dxa" w:w="1814"/>
            <w:shd w:fill="FFC7CE" w:val="clear"/>
          </w:tcPr>
          <w:p>
            <w:pPr>
              <w:jc w:val="left"/>
            </w:pPr>
            <w:r/>
            <w:r>
              <w:rPr>
                <w:rFonts w:ascii="Calibri" w:hAnsi="Calibri"/>
                <w:b w:val="0"/>
                <w:sz w:val="14"/>
              </w:rPr>
              <w:t>2 — No testable hypothesis; simulation-based, not inferential statistics</w:t>
            </w:r>
          </w:p>
        </w:tc>
        <w:tc>
          <w:tcPr>
            <w:tcW w:type="dxa" w:w="1814"/>
            <w:shd w:fill="FFF2CC" w:val="clear"/>
          </w:tcPr>
          <w:p>
            <w:pPr>
              <w:jc w:val="left"/>
            </w:pPr>
            <w:r/>
            <w:r>
              <w:rPr>
                <w:rFonts w:ascii="Calibri" w:hAnsi="Calibri"/>
                <w:b w:val="0"/>
                <w:sz w:val="14"/>
              </w:rPr>
              <w:t>4 — One clean t-test, one ANOVA possible then work runs out</w:t>
            </w:r>
          </w:p>
        </w:tc>
        <w:tc>
          <w:tcPr>
            <w:tcW w:type="dxa" w:w="1814"/>
            <w:shd w:fill="FFEB9C" w:val="clear"/>
          </w:tcPr>
          <w:p>
            <w:pPr>
              <w:jc w:val="left"/>
            </w:pPr>
            <w:r/>
            <w:r>
              <w:rPr>
                <w:rFonts w:ascii="Calibri" w:hAnsi="Calibri"/>
                <w:b w:val="0"/>
                <w:sz w:val="14"/>
              </w:rPr>
              <w:t>7 — Poisson (Session 3), chi-squared, Bayesian prior/posterior direct course fit</w:t>
            </w:r>
          </w:p>
        </w:tc>
      </w:tr>
      <w:tr>
        <w:tc>
          <w:tcPr>
            <w:tcW w:type="dxa" w:w="1247"/>
            <w:shd w:fill="F2F2F2" w:val="clear"/>
          </w:tcPr>
          <w:p>
            <w:pPr>
              <w:jc w:val="left"/>
            </w:pPr>
            <w:r/>
            <w:r>
              <w:rPr>
                <w:rFonts w:ascii="Calibri" w:hAnsi="Calibri"/>
                <w:b/>
                <w:sz w:val="16"/>
              </w:rPr>
              <w:t>Data</w:t>
              <w:br/>
              <w:t>Availability</w:t>
            </w:r>
          </w:p>
        </w:tc>
        <w:tc>
          <w:tcPr>
            <w:tcW w:type="dxa" w:w="1814"/>
            <w:shd w:fill="FFF2CC" w:val="clear"/>
          </w:tcPr>
          <w:p>
            <w:pPr>
              <w:jc w:val="left"/>
            </w:pPr>
            <w:r/>
            <w:r>
              <w:rPr>
                <w:rFonts w:ascii="Calibri" w:hAnsi="Calibri"/>
                <w:b w:val="0"/>
                <w:sz w:val="14"/>
              </w:rPr>
              <w:t>5 — Three gov.sg CSVs but tiny (~526 rows), arrivals end 2015</w:t>
            </w:r>
          </w:p>
        </w:tc>
        <w:tc>
          <w:tcPr>
            <w:tcW w:type="dxa" w:w="1814"/>
            <w:shd w:fill="C6EFCE" w:val="clear"/>
          </w:tcPr>
          <w:p>
            <w:pPr>
              <w:jc w:val="left"/>
            </w:pPr>
            <w:r/>
            <w:r>
              <w:rPr>
                <w:rFonts w:ascii="Calibri" w:hAnsi="Calibri"/>
                <w:b w:val="0"/>
                <w:sz w:val="14"/>
              </w:rPr>
              <w:t>8 — One-click Kaggle, ~7K rows, clean but synthetic IBM demo data</w:t>
            </w:r>
          </w:p>
        </w:tc>
        <w:tc>
          <w:tcPr>
            <w:tcW w:type="dxa" w:w="1814"/>
            <w:shd w:fill="FFF2CC" w:val="clear"/>
          </w:tcPr>
          <w:p>
            <w:pPr>
              <w:jc w:val="left"/>
            </w:pPr>
            <w:r/>
            <w:r>
              <w:rPr>
                <w:rFonts w:ascii="Calibri" w:hAnsi="Calibri"/>
                <w:b w:val="0"/>
                <w:sz w:val="14"/>
              </w:rPr>
              <w:t>5 — ESG CSV (503 rows) + stock prices; merging snapshot with daily series non-trivial</w:t>
            </w:r>
          </w:p>
        </w:tc>
        <w:tc>
          <w:tcPr>
            <w:tcW w:type="dxa" w:w="1814"/>
            <w:shd w:fill="B7E1CD" w:val="clear"/>
          </w:tcPr>
          <w:p>
            <w:pPr>
              <w:jc w:val="left"/>
            </w:pPr>
            <w:r/>
            <w:r>
              <w:rPr>
                <w:rFonts w:ascii="Calibri" w:hAnsi="Calibri"/>
                <w:b w:val="0"/>
                <w:sz w:val="14"/>
              </w:rPr>
              <w:t>10 — Single CSV, 114K rows x 20 cols, clean, no merge best dataset by far</w:t>
            </w:r>
          </w:p>
        </w:tc>
        <w:tc>
          <w:tcPr>
            <w:tcW w:type="dxa" w:w="1814"/>
            <w:shd w:fill="FFF2CC" w:val="clear"/>
          </w:tcPr>
          <w:p>
            <w:pPr>
              <w:jc w:val="left"/>
            </w:pPr>
            <w:r/>
            <w:r>
              <w:rPr>
                <w:rFonts w:ascii="Calibri" w:hAnsi="Calibri"/>
                <w:b w:val="0"/>
                <w:sz w:val="14"/>
              </w:rPr>
              <w:t>5 — One CSV, 8.4K rows; 195 cols with 65%+ missing needs heavy cleaning</w:t>
            </w:r>
          </w:p>
        </w:tc>
        <w:tc>
          <w:tcPr>
            <w:tcW w:type="dxa" w:w="1814"/>
            <w:shd w:fill="FFC7CE" w:val="clear"/>
          </w:tcPr>
          <w:p>
            <w:pPr>
              <w:jc w:val="left"/>
            </w:pPr>
            <w:r/>
            <w:r>
              <w:rPr>
                <w:rFonts w:ascii="Calibri" w:hAnsi="Calibri"/>
                <w:b w:val="0"/>
                <w:sz w:val="14"/>
              </w:rPr>
              <w:t>1 — No dataset identified; building portfolio data is a separate project</w:t>
            </w:r>
          </w:p>
        </w:tc>
        <w:tc>
          <w:tcPr>
            <w:tcW w:type="dxa" w:w="1814"/>
            <w:shd w:fill="FFF2CC" w:val="clear"/>
          </w:tcPr>
          <w:p>
            <w:pPr>
              <w:jc w:val="left"/>
            </w:pPr>
            <w:r/>
            <w:r>
              <w:rPr>
                <w:rFonts w:ascii="Calibri" w:hAnsi="Calibri"/>
                <w:b w:val="0"/>
                <w:sz w:val="14"/>
              </w:rPr>
              <w:t>4 — Stock prices available; dividend classification data not identified</w:t>
            </w:r>
          </w:p>
        </w:tc>
        <w:tc>
          <w:tcPr>
            <w:tcW w:type="dxa" w:w="1814"/>
            <w:shd w:fill="FFC7CE" w:val="clear"/>
          </w:tcPr>
          <w:p>
            <w:pPr>
              <w:jc w:val="left"/>
            </w:pPr>
            <w:r/>
            <w:r>
              <w:rPr>
                <w:rFonts w:ascii="Calibri" w:hAnsi="Calibri"/>
                <w:b w:val="0"/>
                <w:sz w:val="14"/>
              </w:rPr>
              <w:t>3 — Needs web scraping (SharePoint); census needs geo-matching; ~300 rows</w:t>
            </w:r>
          </w:p>
        </w:tc>
      </w:tr>
      <w:tr>
        <w:tc>
          <w:tcPr>
            <w:tcW w:type="dxa" w:w="1247"/>
            <w:shd w:fill="F2F2F2" w:val="clear"/>
          </w:tcPr>
          <w:p>
            <w:pPr>
              <w:jc w:val="left"/>
            </w:pPr>
            <w:r/>
            <w:r>
              <w:rPr>
                <w:rFonts w:ascii="Calibri" w:hAnsi="Calibri"/>
                <w:b/>
                <w:sz w:val="16"/>
              </w:rPr>
              <w:t>Novelty</w:t>
            </w:r>
          </w:p>
        </w:tc>
        <w:tc>
          <w:tcPr>
            <w:tcW w:type="dxa" w:w="1814"/>
            <w:shd w:fill="FFF2CC" w:val="clear"/>
          </w:tcPr>
          <w:p>
            <w:pPr>
              <w:jc w:val="left"/>
            </w:pPr>
            <w:r/>
            <w:r>
              <w:rPr>
                <w:rFonts w:ascii="Calibri" w:hAnsi="Calibri"/>
                <w:b w:val="0"/>
                <w:sz w:val="14"/>
              </w:rPr>
              <w:t>4 — Weather-tourism studies exist; equatorial climate makes answer obvious</w:t>
            </w:r>
          </w:p>
        </w:tc>
        <w:tc>
          <w:tcPr>
            <w:tcW w:type="dxa" w:w="1814"/>
            <w:shd w:fill="FFC7CE" w:val="clear"/>
          </w:tcPr>
          <w:p>
            <w:pPr>
              <w:jc w:val="left"/>
            </w:pPr>
            <w:r/>
            <w:r>
              <w:rPr>
                <w:rFonts w:ascii="Calibri" w:hAnsi="Calibri"/>
                <w:b w:val="0"/>
                <w:sz w:val="14"/>
              </w:rPr>
              <w:t>1 — 10,000+ Kaggle notebooks; professor has certainly seen this before</w:t>
            </w:r>
          </w:p>
        </w:tc>
        <w:tc>
          <w:tcPr>
            <w:tcW w:type="dxa" w:w="1814"/>
            <w:shd w:fill="FFF2CC" w:val="clear"/>
          </w:tcPr>
          <w:p>
            <w:pPr>
              <w:jc w:val="left"/>
            </w:pPr>
            <w:r/>
            <w:r>
              <w:rPr>
                <w:rFonts w:ascii="Calibri" w:hAnsi="Calibri"/>
                <w:b w:val="0"/>
                <w:sz w:val="14"/>
              </w:rPr>
              <w:t>4 — 2,200+ prior studies; E/S/G decomposition adds some originality</w:t>
            </w:r>
          </w:p>
        </w:tc>
        <w:tc>
          <w:tcPr>
            <w:tcW w:type="dxa" w:w="1814"/>
            <w:shd w:fill="B7E1CD" w:val="clear"/>
          </w:tcPr>
          <w:p>
            <w:pPr>
              <w:jc w:val="left"/>
            </w:pPr>
            <w:r/>
            <w:r>
              <w:rPr>
                <w:rFonts w:ascii="Calibri" w:hAnsi="Calibri"/>
                <w:b w:val="0"/>
                <w:sz w:val="14"/>
              </w:rPr>
              <w:t>5 — "Prefer sad music?" is engaging, but Spotify analysis very common on Kaggle too</w:t>
            </w:r>
          </w:p>
        </w:tc>
        <w:tc>
          <w:tcPr>
            <w:tcW w:type="dxa" w:w="1814"/>
            <w:shd w:fill="FFC7CE" w:val="clear"/>
          </w:tcPr>
          <w:p>
            <w:pPr>
              <w:jc w:val="left"/>
            </w:pPr>
            <w:r/>
            <w:r>
              <w:rPr>
                <w:rFonts w:ascii="Calibri" w:hAnsi="Calibri"/>
                <w:b w:val="0"/>
                <w:sz w:val="14"/>
              </w:rPr>
              <w:t>3 — Famous 2006 dataset (Fisman &amp; Iyengar); hundreds of analyses exist</w:t>
            </w:r>
          </w:p>
        </w:tc>
        <w:tc>
          <w:tcPr>
            <w:tcW w:type="dxa" w:w="1814"/>
            <w:shd w:fill="FFC7CE" w:val="clear"/>
          </w:tcPr>
          <w:p>
            <w:pPr>
              <w:jc w:val="left"/>
            </w:pPr>
            <w:r/>
            <w:r>
              <w:rPr>
                <w:rFonts w:ascii="Calibri" w:hAnsi="Calibri"/>
                <w:b w:val="0"/>
                <w:sz w:val="14"/>
              </w:rPr>
              <w:t>3 — 70-year-old Markowitz theory; overlapping-assets is a factoid</w:t>
            </w:r>
          </w:p>
        </w:tc>
        <w:tc>
          <w:tcPr>
            <w:tcW w:type="dxa" w:w="1814"/>
            <w:shd w:fill="FFC7CE" w:val="clear"/>
          </w:tcPr>
          <w:p>
            <w:pPr>
              <w:jc w:val="left"/>
            </w:pPr>
            <w:r/>
            <w:r>
              <w:rPr>
                <w:rFonts w:ascii="Calibri" w:hAnsi="Calibri"/>
                <w:b w:val="0"/>
                <w:sz w:val="14"/>
              </w:rPr>
              <w:t>2 — Most debated topic in retail investing; Vanguard/Morningstar covered it</w:t>
            </w:r>
          </w:p>
        </w:tc>
        <w:tc>
          <w:tcPr>
            <w:tcW w:type="dxa" w:w="1814"/>
            <w:shd w:fill="FFEB9C" w:val="clear"/>
          </w:tcPr>
          <w:p>
            <w:pPr>
              <w:jc w:val="left"/>
            </w:pPr>
            <w:r/>
            <w:r>
              <w:rPr>
                <w:rFonts w:ascii="Calibri" w:hAnsi="Calibri"/>
                <w:b w:val="0"/>
                <w:sz w:val="14"/>
              </w:rPr>
              <w:t>7 — Statistical normalization novel, but "lucky outlet" myth well-covered in SG media</w:t>
            </w:r>
          </w:p>
        </w:tc>
      </w:tr>
      <w:tr>
        <w:tc>
          <w:tcPr>
            <w:tcW w:type="dxa" w:w="1247"/>
            <w:shd w:fill="F2F2F2" w:val="clear"/>
          </w:tcPr>
          <w:p>
            <w:pPr>
              <w:jc w:val="left"/>
            </w:pPr>
            <w:r/>
            <w:r>
              <w:rPr>
                <w:rFonts w:ascii="Calibri" w:hAnsi="Calibri"/>
                <w:b/>
                <w:sz w:val="16"/>
              </w:rPr>
              <w:t>Statistical</w:t>
              <w:br/>
              <w:t>Depth</w:t>
            </w:r>
          </w:p>
        </w:tc>
        <w:tc>
          <w:tcPr>
            <w:tcW w:type="dxa" w:w="1814"/>
            <w:shd w:fill="FFC7CE" w:val="clear"/>
          </w:tcPr>
          <w:p>
            <w:pPr>
              <w:jc w:val="left"/>
            </w:pPr>
            <w:r/>
            <w:r>
              <w:rPr>
                <w:rFonts w:ascii="Calibri" w:hAnsi="Calibri"/>
                <w:b w:val="0"/>
                <w:sz w:val="14"/>
              </w:rPr>
              <w:t>3 — After correlations + regression, little left; 6 threads hard to fill</w:t>
            </w:r>
          </w:p>
        </w:tc>
        <w:tc>
          <w:tcPr>
            <w:tcW w:type="dxa" w:w="1814"/>
            <w:shd w:fill="FFC7CE" w:val="clear"/>
          </w:tcPr>
          <w:p>
            <w:pPr>
              <w:jc w:val="left"/>
            </w:pPr>
            <w:r/>
            <w:r>
              <w:rPr>
                <w:rFonts w:ascii="Calibri" w:hAnsi="Calibri"/>
                <w:b w:val="0"/>
                <w:sz w:val="14"/>
              </w:rPr>
              <w:t>3 — Steps form a linear pipeline, not 6 independent analyses</w:t>
            </w:r>
          </w:p>
        </w:tc>
        <w:tc>
          <w:tcPr>
            <w:tcW w:type="dxa" w:w="1814"/>
            <w:shd w:fill="FFEB9C" w:val="clear"/>
          </w:tcPr>
          <w:p>
            <w:pPr>
              <w:jc w:val="left"/>
            </w:pPr>
            <w:r/>
            <w:r>
              <w:rPr>
                <w:rFonts w:ascii="Calibri" w:hAnsi="Calibri"/>
                <w:b w:val="0"/>
                <w:sz w:val="14"/>
              </w:rPr>
              <w:t>6 — Overall test, E/S/G, sector ANOVA, volatility, Bayesian = 5-6 threads</w:t>
            </w:r>
          </w:p>
        </w:tc>
        <w:tc>
          <w:tcPr>
            <w:tcW w:type="dxa" w:w="1814"/>
            <w:shd w:fill="B7E1CD" w:val="clear"/>
          </w:tcPr>
          <w:p>
            <w:pPr>
              <w:jc w:val="left"/>
            </w:pPr>
            <w:r/>
            <w:r>
              <w:rPr>
                <w:rFonts w:ascii="Calibri" w:hAnsi="Calibri"/>
                <w:b w:val="0"/>
                <w:sz w:val="14"/>
              </w:rPr>
              <w:t>7 — 6 hypotheses but all variations of "does feature X predict popularity?"; p-hacking risk</w:t>
            </w:r>
          </w:p>
        </w:tc>
        <w:tc>
          <w:tcPr>
            <w:tcW w:type="dxa" w:w="1814"/>
            <w:shd w:fill="FFEB9C" w:val="clear"/>
          </w:tcPr>
          <w:p>
            <w:pPr>
              <w:jc w:val="left"/>
            </w:pPr>
            <w:r/>
            <w:r>
              <w:rPr>
                <w:rFonts w:ascii="Calibri" w:hAnsi="Calibri"/>
                <w:b w:val="0"/>
                <w:sz w:val="14"/>
              </w:rPr>
              <w:t>6 — Gender, self-vs-other, match predictors, demographics = 5 threads</w:t>
            </w:r>
          </w:p>
        </w:tc>
        <w:tc>
          <w:tcPr>
            <w:tcW w:type="dxa" w:w="1814"/>
            <w:shd w:fill="FFC7CE" w:val="clear"/>
          </w:tcPr>
          <w:p>
            <w:pPr>
              <w:jc w:val="left"/>
            </w:pPr>
            <w:r/>
            <w:r>
              <w:rPr>
                <w:rFonts w:ascii="Calibri" w:hAnsi="Calibri"/>
                <w:b w:val="0"/>
                <w:sz w:val="14"/>
              </w:rPr>
              <w:t>2 — Simulation + correlation + variance curve; none are hypothesis tests</w:t>
            </w:r>
          </w:p>
        </w:tc>
        <w:tc>
          <w:tcPr>
            <w:tcW w:type="dxa" w:w="1814"/>
            <w:shd w:fill="FFC7CE" w:val="clear"/>
          </w:tcPr>
          <w:p>
            <w:pPr>
              <w:jc w:val="left"/>
            </w:pPr>
            <w:r/>
            <w:r>
              <w:rPr>
                <w:rFonts w:ascii="Calibri" w:hAnsi="Calibri"/>
                <w:b w:val="0"/>
                <w:sz w:val="14"/>
              </w:rPr>
              <w:t>3 — One t-test, one ANOVA, one F-test = 3 tests; half the team idle</w:t>
            </w:r>
          </w:p>
        </w:tc>
        <w:tc>
          <w:tcPr>
            <w:tcW w:type="dxa" w:w="1814"/>
            <w:shd w:fill="FFF2CC" w:val="clear"/>
          </w:tcPr>
          <w:p>
            <w:pPr>
              <w:jc w:val="left"/>
            </w:pPr>
            <w:r/>
            <w:r>
              <w:rPr>
                <w:rFonts w:ascii="Calibri" w:hAnsi="Calibri"/>
                <w:b w:val="0"/>
                <w:sz w:val="14"/>
              </w:rPr>
              <w:t>5 — Poisson, chi-squared, Bayesian, demographics = 4-5 threads; 6th stretched</w:t>
            </w:r>
          </w:p>
        </w:tc>
      </w:tr>
      <w:tr>
        <w:tc>
          <w:tcPr>
            <w:tcW w:type="dxa" w:w="1247"/>
            <w:shd w:fill="F2F2F2" w:val="clear"/>
          </w:tcPr>
          <w:p>
            <w:pPr>
              <w:jc w:val="left"/>
            </w:pPr>
            <w:r/>
            <w:r>
              <w:rPr>
                <w:rFonts w:ascii="Calibri" w:hAnsi="Calibri"/>
                <w:b/>
                <w:sz w:val="16"/>
              </w:rPr>
              <w:t>"So What?"</w:t>
              <w:br/>
              <w:t>Factor</w:t>
            </w:r>
          </w:p>
        </w:tc>
        <w:tc>
          <w:tcPr>
            <w:tcW w:type="dxa" w:w="1814"/>
            <w:shd w:fill="FFC7CE" w:val="clear"/>
          </w:tcPr>
          <w:p>
            <w:pPr>
              <w:jc w:val="left"/>
            </w:pPr>
            <w:r/>
            <w:r>
              <w:rPr>
                <w:rFonts w:ascii="Calibri" w:hAnsi="Calibri"/>
                <w:b w:val="0"/>
                <w:sz w:val="14"/>
              </w:rPr>
              <w:t>3 — STB already knows weather does not drive tourism; no actionable insight</w:t>
            </w:r>
          </w:p>
        </w:tc>
        <w:tc>
          <w:tcPr>
            <w:tcW w:type="dxa" w:w="1814"/>
            <w:shd w:fill="FFF2CC" w:val="clear"/>
          </w:tcPr>
          <w:p>
            <w:pPr>
              <w:jc w:val="left"/>
            </w:pPr>
            <w:r/>
            <w:r>
              <w:rPr>
                <w:rFonts w:ascii="Calibri" w:hAnsi="Calibri"/>
                <w:b w:val="0"/>
                <w:sz w:val="14"/>
              </w:rPr>
              <w:t>4 — Retention relevant, but recommendations go to a fictional company</w:t>
            </w:r>
          </w:p>
        </w:tc>
        <w:tc>
          <w:tcPr>
            <w:tcW w:type="dxa" w:w="1814"/>
            <w:shd w:fill="FFF2CC" w:val="clear"/>
          </w:tcPr>
          <w:p>
            <w:pPr>
              <w:jc w:val="left"/>
            </w:pPr>
            <w:r/>
            <w:r>
              <w:rPr>
                <w:rFonts w:ascii="Calibri" w:hAnsi="Calibri"/>
                <w:b w:val="0"/>
                <w:sz w:val="14"/>
              </w:rPr>
              <w:t>5 — Relevant to investors; null result has muted impact</w:t>
            </w:r>
          </w:p>
        </w:tc>
        <w:tc>
          <w:tcPr>
            <w:tcW w:type="dxa" w:w="1814"/>
            <w:shd w:fill="B7E1CD" w:val="clear"/>
          </w:tcPr>
          <w:p>
            <w:pPr>
              <w:jc w:val="left"/>
            </w:pPr>
            <w:r/>
            <w:r>
              <w:rPr>
                <w:rFonts w:ascii="Calibri" w:hAnsi="Calibri"/>
                <w:b w:val="0"/>
                <w:sz w:val="14"/>
              </w:rPr>
              <w:t>5 — Relatable but not genuinely actionable; labels do not use student t-tests</w:t>
            </w:r>
          </w:p>
        </w:tc>
        <w:tc>
          <w:tcPr>
            <w:tcW w:type="dxa" w:w="1814"/>
            <w:shd w:fill="FFC7CE" w:val="clear"/>
          </w:tcPr>
          <w:p>
            <w:pPr>
              <w:jc w:val="left"/>
            </w:pPr>
            <w:r/>
            <w:r>
              <w:rPr>
                <w:rFonts w:ascii="Calibri" w:hAnsi="Calibri"/>
                <w:b w:val="0"/>
                <w:sz w:val="14"/>
              </w:rPr>
              <w:t>3 — No decision-maker benefits; proposer called it "unserious"</w:t>
            </w:r>
          </w:p>
        </w:tc>
        <w:tc>
          <w:tcPr>
            <w:tcW w:type="dxa" w:w="1814"/>
            <w:shd w:fill="FFF2CC" w:val="clear"/>
          </w:tcPr>
          <w:p>
            <w:pPr>
              <w:jc w:val="left"/>
            </w:pPr>
            <w:r/>
            <w:r>
              <w:rPr>
                <w:rFonts w:ascii="Calibri" w:hAnsi="Calibri"/>
                <w:b w:val="0"/>
                <w:sz w:val="14"/>
              </w:rPr>
              <w:t>4 — Conclusion is textbook knowledge; no new insight</w:t>
            </w:r>
          </w:p>
        </w:tc>
        <w:tc>
          <w:tcPr>
            <w:tcW w:type="dxa" w:w="1814"/>
            <w:shd w:fill="FFF2CC" w:val="clear"/>
          </w:tcPr>
          <w:p>
            <w:pPr>
              <w:jc w:val="left"/>
            </w:pPr>
            <w:r/>
            <w:r>
              <w:rPr>
                <w:rFonts w:ascii="Calibri" w:hAnsi="Calibri"/>
                <w:b w:val="0"/>
                <w:sz w:val="14"/>
              </w:rPr>
              <w:t>4 — Answer depends on time period; already well-established</w:t>
            </w:r>
          </w:p>
        </w:tc>
        <w:tc>
          <w:tcPr>
            <w:tcW w:type="dxa" w:w="1814"/>
            <w:shd w:fill="C6EFCE" w:val="clear"/>
          </w:tcPr>
          <w:p>
            <w:pPr>
              <w:jc w:val="left"/>
            </w:pPr>
            <w:r/>
            <w:r>
              <w:rPr>
                <w:rFonts w:ascii="Calibri" w:hAnsi="Calibri"/>
                <w:b w:val="0"/>
                <w:sz w:val="14"/>
              </w:rPr>
              <w:t>9 — Debunks common SG superstition; every Singaporean has an opinion</w:t>
            </w:r>
          </w:p>
        </w:tc>
      </w:tr>
      <w:tr>
        <w:tc>
          <w:tcPr>
            <w:tcW w:type="dxa" w:w="1247"/>
            <w:shd w:fill="F2F2F2" w:val="clear"/>
          </w:tcPr>
          <w:p>
            <w:pPr>
              <w:jc w:val="left"/>
            </w:pPr>
            <w:r/>
            <w:r>
              <w:rPr>
                <w:rFonts w:ascii="Calibri" w:hAnsi="Calibri"/>
                <w:b/>
                <w:sz w:val="16"/>
              </w:rPr>
              <w:t>Presentation</w:t>
              <w:br/>
              <w:t>Appeal</w:t>
            </w:r>
          </w:p>
        </w:tc>
        <w:tc>
          <w:tcPr>
            <w:tcW w:type="dxa" w:w="1814"/>
            <w:shd w:fill="FFF2CC" w:val="clear"/>
          </w:tcPr>
          <w:p>
            <w:pPr>
              <w:jc w:val="left"/>
            </w:pPr>
            <w:r/>
            <w:r>
              <w:rPr>
                <w:rFonts w:ascii="Calibri" w:hAnsi="Calibri"/>
                <w:b w:val="0"/>
                <w:sz w:val="14"/>
              </w:rPr>
              <w:t>4 — Flat equatorial data = bland charts; no narrative arc</w:t>
            </w:r>
          </w:p>
        </w:tc>
        <w:tc>
          <w:tcPr>
            <w:tcW w:type="dxa" w:w="1814"/>
            <w:shd w:fill="FFC7CE" w:val="clear"/>
          </w:tcPr>
          <w:p>
            <w:pPr>
              <w:jc w:val="left"/>
            </w:pPr>
            <w:r/>
            <w:r>
              <w:rPr>
                <w:rFonts w:ascii="Calibri" w:hAnsi="Calibri"/>
                <w:b w:val="0"/>
                <w:sz w:val="14"/>
              </w:rPr>
              <w:t>3 — Generic problem, no emotional hook; seen in other courses</w:t>
            </w:r>
          </w:p>
        </w:tc>
        <w:tc>
          <w:tcPr>
            <w:tcW w:type="dxa" w:w="1814"/>
            <w:shd w:fill="FFF2CC" w:val="clear"/>
          </w:tcPr>
          <w:p>
            <w:pPr>
              <w:jc w:val="left"/>
            </w:pPr>
            <w:r/>
            <w:r>
              <w:rPr>
                <w:rFonts w:ascii="Calibri" w:hAnsi="Calibri"/>
                <w:b w:val="0"/>
                <w:sz w:val="14"/>
              </w:rPr>
              <w:t>5 — Topical ESG debate; but financial charts dry; null result anticlimactic</w:t>
            </w:r>
          </w:p>
        </w:tc>
        <w:tc>
          <w:tcPr>
            <w:tcW w:type="dxa" w:w="1814"/>
            <w:shd w:fill="B7E1CD" w:val="clear"/>
          </w:tcPr>
          <w:p>
            <w:pPr>
              <w:jc w:val="left"/>
            </w:pPr>
            <w:r/>
            <w:r>
              <w:rPr>
                <w:rFonts w:ascii="Calibri" w:hAnsi="Calibri"/>
                <w:b w:val="0"/>
                <w:sz w:val="14"/>
              </w:rPr>
              <w:t>9 — Embed real songs; audience recognises tracks, debates "sad" label</w:t>
            </w:r>
          </w:p>
        </w:tc>
        <w:tc>
          <w:tcPr>
            <w:tcW w:type="dxa" w:w="1814"/>
            <w:shd w:fill="C6EFCE" w:val="clear"/>
          </w:tcPr>
          <w:p>
            <w:pPr>
              <w:jc w:val="left"/>
            </w:pPr>
            <w:r/>
            <w:r>
              <w:rPr>
                <w:rFonts w:ascii="Calibri" w:hAnsi="Calibri"/>
                <w:b w:val="0"/>
                <w:sz w:val="14"/>
              </w:rPr>
              <w:t>8 — "What do men vs women care about?" inherently entertaining</w:t>
            </w:r>
          </w:p>
        </w:tc>
        <w:tc>
          <w:tcPr>
            <w:tcW w:type="dxa" w:w="1814"/>
            <w:shd w:fill="FFC7CE" w:val="clear"/>
          </w:tcPr>
          <w:p>
            <w:pPr>
              <w:jc w:val="left"/>
            </w:pPr>
            <w:r/>
            <w:r>
              <w:rPr>
                <w:rFonts w:ascii="Calibri" w:hAnsi="Calibri"/>
                <w:b w:val="0"/>
                <w:sz w:val="14"/>
              </w:rPr>
              <w:t>3 — Frontier plots are finance-class material, not storytelling</w:t>
            </w:r>
          </w:p>
        </w:tc>
        <w:tc>
          <w:tcPr>
            <w:tcW w:type="dxa" w:w="1814"/>
            <w:shd w:fill="FFC7CE" w:val="clear"/>
          </w:tcPr>
          <w:p>
            <w:pPr>
              <w:jc w:val="left"/>
            </w:pPr>
            <w:r/>
            <w:r>
              <w:rPr>
                <w:rFonts w:ascii="Calibri" w:hAnsi="Calibri"/>
                <w:b w:val="0"/>
                <w:sz w:val="14"/>
              </w:rPr>
              <w:t>3 — Standard finance charts; no emotional hook or surprise</w:t>
            </w:r>
          </w:p>
        </w:tc>
        <w:tc>
          <w:tcPr>
            <w:tcW w:type="dxa" w:w="1814"/>
            <w:shd w:fill="C6EFCE" w:val="clear"/>
          </w:tcPr>
          <w:p>
            <w:pPr>
              <w:jc w:val="left"/>
            </w:pPr>
            <w:r/>
            <w:r>
              <w:rPr>
                <w:rFonts w:ascii="Calibri" w:hAnsi="Calibri"/>
                <w:b w:val="0"/>
                <w:sz w:val="14"/>
              </w:rPr>
              <w:t>8 — "Who buys TOTO at a lucky outlet?" instant engagement; maps striking</w:t>
            </w:r>
          </w:p>
        </w:tc>
      </w:tr>
      <w:tr>
        <w:tc>
          <w:tcPr>
            <w:tcW w:type="dxa" w:w="1247"/>
            <w:shd w:fill="F2F2F2" w:val="clear"/>
          </w:tcPr>
          <w:p>
            <w:pPr>
              <w:jc w:val="left"/>
            </w:pPr>
            <w:r/>
            <w:r>
              <w:rPr>
                <w:rFonts w:ascii="Calibri" w:hAnsi="Calibri"/>
                <w:b/>
                <w:sz w:val="16"/>
              </w:rPr>
              <w:t>Low Risk</w:t>
            </w:r>
          </w:p>
        </w:tc>
        <w:tc>
          <w:tcPr>
            <w:tcW w:type="dxa" w:w="1814"/>
            <w:shd w:fill="FFC7CE" w:val="clear"/>
          </w:tcPr>
          <w:p>
            <w:pPr>
              <w:jc w:val="left"/>
            </w:pPr>
            <w:r/>
            <w:r>
              <w:rPr>
                <w:rFonts w:ascii="Calibri" w:hAnsi="Calibri"/>
                <w:b w:val="0"/>
                <w:sz w:val="14"/>
              </w:rPr>
              <w:t>3 — 2.5C range guarantees non-significance; no fallback</w:t>
            </w:r>
          </w:p>
        </w:tc>
        <w:tc>
          <w:tcPr>
            <w:tcW w:type="dxa" w:w="1814"/>
            <w:shd w:fill="FFEB9C" w:val="clear"/>
          </w:tcPr>
          <w:p>
            <w:pPr>
              <w:jc w:val="left"/>
            </w:pPr>
            <w:r/>
            <w:r>
              <w:rPr>
                <w:rFonts w:ascii="Calibri" w:hAnsi="Calibri"/>
                <w:b w:val="0"/>
                <w:sz w:val="14"/>
              </w:rPr>
              <w:t>6 — Clean synthetic data; but high risk of generic unremarkable output</w:t>
            </w:r>
          </w:p>
        </w:tc>
        <w:tc>
          <w:tcPr>
            <w:tcW w:type="dxa" w:w="1814"/>
            <w:shd w:fill="FFF2CC" w:val="clear"/>
          </w:tcPr>
          <w:p>
            <w:pPr>
              <w:jc w:val="left"/>
            </w:pPr>
            <w:r/>
            <w:r>
              <w:rPr>
                <w:rFonts w:ascii="Calibri" w:hAnsi="Calibri"/>
                <w:b w:val="0"/>
                <w:sz w:val="14"/>
              </w:rPr>
              <w:t>4 — Likely null result; merge complexity; survivorship bias</w:t>
            </w:r>
          </w:p>
        </w:tc>
        <w:tc>
          <w:tcPr>
            <w:tcW w:type="dxa" w:w="1814"/>
            <w:shd w:fill="B7E1CD" w:val="clear"/>
          </w:tcPr>
          <w:p>
            <w:pPr>
              <w:jc w:val="left"/>
            </w:pPr>
            <w:r/>
            <w:r>
              <w:rPr>
                <w:rFonts w:ascii="Calibri" w:hAnsi="Calibri"/>
                <w:b w:val="0"/>
                <w:sz w:val="14"/>
              </w:rPr>
              <w:t>6 — Many features as fallback, but core signal likely weak (low R-sq); fishing risk</w:t>
            </w:r>
          </w:p>
        </w:tc>
        <w:tc>
          <w:tcPr>
            <w:tcW w:type="dxa" w:w="1814"/>
            <w:shd w:fill="FFF2CC" w:val="clear"/>
          </w:tcPr>
          <w:p>
            <w:pPr>
              <w:jc w:val="left"/>
            </w:pPr>
            <w:r/>
            <w:r>
              <w:rPr>
                <w:rFonts w:ascii="Calibri" w:hAnsi="Calibri"/>
                <w:b w:val="0"/>
                <w:sz w:val="14"/>
              </w:rPr>
              <w:t>5 — 65% missing may eliminate threads; small sample (552) limits power</w:t>
            </w:r>
          </w:p>
        </w:tc>
        <w:tc>
          <w:tcPr>
            <w:tcW w:type="dxa" w:w="1814"/>
            <w:shd w:fill="FFC7CE" w:val="clear"/>
          </w:tcPr>
          <w:p>
            <w:pPr>
              <w:jc w:val="left"/>
            </w:pPr>
            <w:r/>
            <w:r>
              <w:rPr>
                <w:rFonts w:ascii="Calibri" w:hAnsi="Calibri"/>
                <w:b w:val="0"/>
                <w:sz w:val="14"/>
              </w:rPr>
              <w:t>2 — No dataset = cannot start; simulation may not satisfy rubric</w:t>
            </w:r>
          </w:p>
        </w:tc>
        <w:tc>
          <w:tcPr>
            <w:tcW w:type="dxa" w:w="1814"/>
            <w:shd w:fill="FFF2CC" w:val="clear"/>
          </w:tcPr>
          <w:p>
            <w:pPr>
              <w:jc w:val="left"/>
            </w:pPr>
            <w:r/>
            <w:r>
              <w:rPr>
                <w:rFonts w:ascii="Calibri" w:hAnsi="Calibri"/>
                <w:b w:val="0"/>
                <w:sz w:val="14"/>
              </w:rPr>
              <w:t>4 — Time period dependency flips results; thin analysis, little fallback</w:t>
            </w:r>
          </w:p>
        </w:tc>
        <w:tc>
          <w:tcPr>
            <w:tcW w:type="dxa" w:w="1814"/>
            <w:shd w:fill="FFF2CC" w:val="clear"/>
          </w:tcPr>
          <w:p>
            <w:pPr>
              <w:jc w:val="left"/>
            </w:pPr>
            <w:r/>
            <w:r>
              <w:rPr>
                <w:rFonts w:ascii="Calibri" w:hAnsi="Calibri"/>
                <w:b w:val="0"/>
                <w:sz w:val="14"/>
              </w:rPr>
              <w:t>4 — Scrape may fail; ~300 rows sparse; predetermined "no" limits surprise</w:t>
            </w:r>
          </w:p>
        </w:tc>
      </w:tr>
      <w:tr>
        <w:tc>
          <w:tcPr>
            <w:tcW w:type="dxa" w:w="1247"/>
            <w:shd w:fill="D9E2F3" w:val="clear"/>
          </w:tcPr>
          <w:p>
            <w:pPr>
              <w:jc w:val="left"/>
            </w:pPr>
            <w:r/>
            <w:r>
              <w:rPr>
                <w:rFonts w:ascii="Calibri" w:hAnsi="Calibri"/>
                <w:b/>
                <w:sz w:val="18"/>
              </w:rPr>
              <w:t>TOTAL</w:t>
              <w:br/>
              <w:t>(/70)</w:t>
            </w:r>
          </w:p>
        </w:tc>
        <w:tc>
          <w:tcPr>
            <w:tcW w:type="dxa" w:w="1814"/>
            <w:shd w:fill="FFC7CE" w:val="clear"/>
          </w:tcPr>
          <w:p>
            <w:pPr>
              <w:jc w:val="center"/>
            </w:pPr>
            <w:r/>
            <w:r>
              <w:rPr>
                <w:rFonts w:ascii="Calibri" w:hAnsi="Calibri"/>
                <w:b/>
                <w:sz w:val="18"/>
              </w:rPr>
              <w:t>26/70</w:t>
              <w:br/>
              <w:t>(3/10)</w:t>
            </w:r>
          </w:p>
        </w:tc>
        <w:tc>
          <w:tcPr>
            <w:tcW w:type="dxa" w:w="1814"/>
            <w:shd w:fill="FFF2CC" w:val="clear"/>
          </w:tcPr>
          <w:p>
            <w:pPr>
              <w:jc w:val="center"/>
            </w:pPr>
            <w:r/>
            <w:r>
              <w:rPr>
                <w:rFonts w:ascii="Calibri" w:hAnsi="Calibri"/>
                <w:b/>
                <w:sz w:val="18"/>
              </w:rPr>
              <w:t>28/70</w:t>
              <w:br/>
              <w:t>(2/10)</w:t>
            </w:r>
          </w:p>
        </w:tc>
        <w:tc>
          <w:tcPr>
            <w:tcW w:type="dxa" w:w="1814"/>
            <w:shd w:fill="FFF2CC" w:val="clear"/>
          </w:tcPr>
          <w:p>
            <w:pPr>
              <w:jc w:val="center"/>
            </w:pPr>
            <w:r/>
            <w:r>
              <w:rPr>
                <w:rFonts w:ascii="Calibri" w:hAnsi="Calibri"/>
                <w:b/>
                <w:sz w:val="18"/>
              </w:rPr>
              <w:t>35/70</w:t>
              <w:br/>
              <w:t>(5/10)</w:t>
            </w:r>
          </w:p>
        </w:tc>
        <w:tc>
          <w:tcPr>
            <w:tcW w:type="dxa" w:w="1814"/>
            <w:shd w:fill="B7E1CD" w:val="clear"/>
          </w:tcPr>
          <w:p>
            <w:pPr>
              <w:jc w:val="center"/>
            </w:pPr>
            <w:r/>
            <w:r>
              <w:rPr>
                <w:rFonts w:ascii="Calibri" w:hAnsi="Calibri"/>
                <w:b/>
                <w:sz w:val="18"/>
              </w:rPr>
              <w:t>50/70</w:t>
              <w:br/>
              <w:t>(7/10)</w:t>
            </w:r>
          </w:p>
        </w:tc>
        <w:tc>
          <w:tcPr>
            <w:tcW w:type="dxa" w:w="1814"/>
            <w:shd w:fill="FFF2CC" w:val="clear"/>
          </w:tcPr>
          <w:p>
            <w:pPr>
              <w:jc w:val="center"/>
            </w:pPr>
            <w:r/>
            <w:r>
              <w:rPr>
                <w:rFonts w:ascii="Calibri" w:hAnsi="Calibri"/>
                <w:b/>
                <w:sz w:val="18"/>
              </w:rPr>
              <w:t>36/70</w:t>
              <w:br/>
              <w:t>(5.5/10)</w:t>
            </w:r>
          </w:p>
        </w:tc>
        <w:tc>
          <w:tcPr>
            <w:tcW w:type="dxa" w:w="1814"/>
            <w:shd w:fill="FFC7CE" w:val="clear"/>
          </w:tcPr>
          <w:p>
            <w:pPr>
              <w:jc w:val="center"/>
            </w:pPr>
            <w:r/>
            <w:r>
              <w:rPr>
                <w:rFonts w:ascii="Calibri" w:hAnsi="Calibri"/>
                <w:b/>
                <w:sz w:val="18"/>
              </w:rPr>
              <w:t>17/70</w:t>
              <w:br/>
              <w:t>(2/10)</w:t>
            </w:r>
          </w:p>
        </w:tc>
        <w:tc>
          <w:tcPr>
            <w:tcW w:type="dxa" w:w="1814"/>
            <w:shd w:fill="FFC7CE" w:val="clear"/>
          </w:tcPr>
          <w:p>
            <w:pPr>
              <w:jc w:val="center"/>
            </w:pPr>
            <w:r/>
            <w:r>
              <w:rPr>
                <w:rFonts w:ascii="Calibri" w:hAnsi="Calibri"/>
                <w:b/>
                <w:sz w:val="18"/>
              </w:rPr>
              <w:t>24/70</w:t>
              <w:br/>
              <w:t>(3/10)</w:t>
            </w:r>
          </w:p>
        </w:tc>
        <w:tc>
          <w:tcPr>
            <w:tcW w:type="dxa" w:w="1814"/>
            <w:shd w:fill="FFEB9C" w:val="clear"/>
          </w:tcPr>
          <w:p>
            <w:pPr>
              <w:jc w:val="center"/>
            </w:pPr>
            <w:r/>
            <w:r>
              <w:rPr>
                <w:rFonts w:ascii="Calibri" w:hAnsi="Calibri"/>
                <w:b/>
                <w:sz w:val="18"/>
              </w:rPr>
              <w:t>43/70</w:t>
              <w:br/>
              <w:t>(6/10)</w:t>
            </w:r>
          </w:p>
        </w:tc>
      </w:tr>
    </w:tbl>
    <w:p/>
    <w:p>
      <w:pPr>
        <w:pStyle w:val="Heading1"/>
      </w:pPr>
      <w:r>
        <w:rPr>
          <w:color w:val="000000"/>
        </w:rPr>
        <w:t>Honesty Note: Spotify Score Revision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6"/>
              </w:rPr>
              <w:t>Criterion</w:t>
            </w:r>
          </w:p>
        </w:tc>
        <w:tc>
          <w:tcPr>
            <w:tcW w:type="dxa" w:w="2160"/>
          </w:tcPr>
          <w:p>
            <w:r>
              <w:rPr>
                <w:b/>
                <w:sz w:val="16"/>
              </w:rPr>
              <w:t>Original</w:t>
            </w:r>
          </w:p>
        </w:tc>
        <w:tc>
          <w:tcPr>
            <w:tcW w:type="dxa" w:w="2160"/>
          </w:tcPr>
          <w:p>
            <w:r>
              <w:rPr>
                <w:b/>
                <w:sz w:val="16"/>
              </w:rPr>
              <w:t>Revised</w:t>
            </w:r>
          </w:p>
        </w:tc>
        <w:tc>
          <w:tcPr>
            <w:tcW w:type="dxa" w:w="2160"/>
          </w:tcPr>
          <w:p>
            <w:r>
              <w:rPr>
                <w:b/>
                <w:sz w:val="16"/>
              </w:rPr>
              <w:t>What was inflated</w:t>
            </w:r>
          </w:p>
        </w:tc>
      </w:tr>
      <w:tr>
        <w:tc>
          <w:tcPr>
            <w:tcW w:type="dxa" w:w="2160"/>
          </w:tcPr>
          <w:p>
            <w:r>
              <w:rPr>
                <w:sz w:val="16"/>
              </w:rPr>
              <w:t>Novelty</w:t>
            </w:r>
          </w:p>
        </w:tc>
        <w:tc>
          <w:tcPr>
            <w:tcW w:type="dxa" w:w="2160"/>
          </w:tcPr>
          <w:p>
            <w:r>
              <w:rPr>
                <w:sz w:val="16"/>
              </w:rPr>
              <w:t>7</w:t>
            </w:r>
          </w:p>
        </w:tc>
        <w:tc>
          <w:tcPr>
            <w:tcW w:type="dxa" w:w="2160"/>
          </w:tcPr>
          <w:p>
            <w:r>
              <w:rPr>
                <w:sz w:val="16"/>
              </w:rPr>
              <w:t>5</w:t>
            </w:r>
          </w:p>
        </w:tc>
        <w:tc>
          <w:tcPr>
            <w:tcW w:type="dxa" w:w="2160"/>
          </w:tcPr>
          <w:p>
            <w:r>
              <w:rPr>
                <w:sz w:val="16"/>
              </w:rPr>
              <w:t>Spotify audio feature analysis is nearly as common on Kaggle as churn</w:t>
            </w:r>
          </w:p>
        </w:tc>
      </w:tr>
      <w:tr>
        <w:tc>
          <w:tcPr>
            <w:tcW w:type="dxa" w:w="2160"/>
          </w:tcPr>
          <w:p>
            <w:r>
              <w:rPr>
                <w:sz w:val="16"/>
              </w:rPr>
              <w:t>Statistical Depth</w:t>
            </w:r>
          </w:p>
        </w:tc>
        <w:tc>
          <w:tcPr>
            <w:tcW w:type="dxa" w:w="2160"/>
          </w:tcPr>
          <w:p>
            <w:r>
              <w:rPr>
                <w:sz w:val="16"/>
              </w:rPr>
              <w:t>9</w:t>
            </w:r>
          </w:p>
        </w:tc>
        <w:tc>
          <w:tcPr>
            <w:tcW w:type="dxa" w:w="2160"/>
          </w:tcPr>
          <w:p>
            <w:r>
              <w:rPr>
                <w:sz w:val="16"/>
              </w:rPr>
              <w:t>7</w:t>
            </w:r>
          </w:p>
        </w:tc>
        <w:tc>
          <w:tcPr>
            <w:tcW w:type="dxa" w:w="2160"/>
          </w:tcPr>
          <w:p>
            <w:r>
              <w:rPr>
                <w:sz w:val="16"/>
              </w:rPr>
              <w:t>The 6 hypotheses are all variations of "does feature X predict popularity?"</w:t>
            </w:r>
          </w:p>
        </w:tc>
      </w:tr>
      <w:tr>
        <w:tc>
          <w:tcPr>
            <w:tcW w:type="dxa" w:w="2160"/>
          </w:tcPr>
          <w:p>
            <w:r>
              <w:rPr>
                <w:sz w:val="16"/>
              </w:rPr>
              <w:t>"So What?"</w:t>
            </w:r>
          </w:p>
        </w:tc>
        <w:tc>
          <w:tcPr>
            <w:tcW w:type="dxa" w:w="2160"/>
          </w:tcPr>
          <w:p>
            <w:r>
              <w:rPr>
                <w:sz w:val="16"/>
              </w:rPr>
              <w:t>7</w:t>
            </w:r>
          </w:p>
        </w:tc>
        <w:tc>
          <w:tcPr>
            <w:tcW w:type="dxa" w:w="2160"/>
          </w:tcPr>
          <w:p>
            <w:r>
              <w:rPr>
                <w:sz w:val="16"/>
              </w:rPr>
              <w:t>5</w:t>
            </w:r>
          </w:p>
        </w:tc>
        <w:tc>
          <w:tcPr>
            <w:tcW w:type="dxa" w:w="2160"/>
          </w:tcPr>
          <w:p>
            <w:r>
              <w:rPr>
                <w:sz w:val="16"/>
              </w:rPr>
              <w:t>Relatable but not genuinely actionable; no real decision-maker uses this</w:t>
            </w:r>
          </w:p>
        </w:tc>
      </w:tr>
      <w:tr>
        <w:tc>
          <w:tcPr>
            <w:tcW w:type="dxa" w:w="2160"/>
          </w:tcPr>
          <w:p>
            <w:r>
              <w:rPr>
                <w:sz w:val="16"/>
              </w:rPr>
              <w:t>Low Risk</w:t>
            </w:r>
          </w:p>
        </w:tc>
        <w:tc>
          <w:tcPr>
            <w:tcW w:type="dxa" w:w="2160"/>
          </w:tcPr>
          <w:p>
            <w:r>
              <w:rPr>
                <w:sz w:val="16"/>
              </w:rPr>
              <w:t>7</w:t>
            </w:r>
          </w:p>
        </w:tc>
        <w:tc>
          <w:tcPr>
            <w:tcW w:type="dxa" w:w="2160"/>
          </w:tcPr>
          <w:p>
            <w:r>
              <w:rPr>
                <w:sz w:val="16"/>
              </w:rPr>
              <w:t>6</w:t>
            </w:r>
          </w:p>
        </w:tc>
        <w:tc>
          <w:tcPr>
            <w:tcW w:type="dxa" w:w="2160"/>
          </w:tcPr>
          <w:p>
            <w:r>
              <w:rPr>
                <w:sz w:val="16"/>
              </w:rPr>
              <w:t>10+ features is also 10+ fishing opportunities; core signal likely weak</w:t>
            </w:r>
          </w:p>
        </w:tc>
      </w:tr>
      <w:tr>
        <w:tc>
          <w:tcPr>
            <w:tcW w:type="dxa" w:w="2160"/>
          </w:tcPr>
          <w:p>
            <w:r>
              <w:rPr>
                <w:sz w:val="16"/>
              </w:rPr>
              <w:t>Course Alignment</w:t>
            </w:r>
          </w:p>
        </w:tc>
        <w:tc>
          <w:tcPr>
            <w:tcW w:type="dxa" w:w="2160"/>
          </w:tcPr>
          <w:p>
            <w:r>
              <w:rPr>
                <w:sz w:val="16"/>
              </w:rPr>
              <w:t>9</w:t>
            </w:r>
          </w:p>
        </w:tc>
        <w:tc>
          <w:tcPr>
            <w:tcW w:type="dxa" w:w="2160"/>
          </w:tcPr>
          <w:p>
            <w:r>
              <w:rPr>
                <w:sz w:val="16"/>
              </w:rPr>
              <w:t>8</w:t>
            </w:r>
          </w:p>
        </w:tc>
        <w:tc>
          <w:tcPr>
            <w:tcW w:type="dxa" w:w="2160"/>
          </w:tcPr>
          <w:p>
            <w:r>
              <w:rPr>
                <w:sz w:val="16"/>
              </w:rPr>
              <w:t>Bayesian angle slightly forced; rest genuinely fits</w:t>
            </w:r>
          </w:p>
        </w:tc>
      </w:tr>
    </w:tbl>
    <w:p/>
    <w:p>
      <w:r>
        <w:rPr>
          <w:b/>
          <w:sz w:val="22"/>
        </w:rPr>
        <w:t xml:space="preserve">Verdict: </w:t>
      </w:r>
      <w:r>
        <w:t>Spotify remains #1 (50/70). SG Pools drops to 43/70 after novelty revision — the "lucky outlet" myth is well-covered in Singaporean media (TheSmartLocal, Goody Feed, Mothership all rank outlets by raw wins). The novel angle (normalizing by estimated ticket volume via HDB density) hasn't been done, but the qualitative answer is already known. Gap to Spotify is now 7 points.</w:t>
      </w:r>
    </w:p>
    <w:p/>
    <w:p>
      <w:pPr>
        <w:pStyle w:val="Heading1"/>
      </w:pPr>
      <w:r>
        <w:rPr>
          <w:color w:val="000000"/>
        </w:rPr>
        <w:t>Final Ranking (Honest Scores)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Rank</w:t>
            </w:r>
          </w:p>
        </w:tc>
        <w:tc>
          <w:tcPr>
            <w:tcW w:type="dxa" w:w="2880"/>
          </w:tcPr>
          <w:p>
            <w:r>
              <w:rPr>
                <w:b/>
                <w:sz w:val="18"/>
              </w:rPr>
              <w:t>Idea</w:t>
            </w:r>
          </w:p>
        </w:tc>
        <w:tc>
          <w:tcPr>
            <w:tcW w:type="dxa" w:w="2880"/>
          </w:tcPr>
          <w:p>
            <w:r>
              <w:rPr>
                <w:b/>
                <w:sz w:val="18"/>
              </w:rPr>
              <w:t>Honest Score</w:t>
            </w:r>
          </w:p>
        </w:tc>
      </w:tr>
      <w:tr>
        <w:tc>
          <w:tcPr>
            <w:tcW w:type="dxa" w:w="2880"/>
          </w:tcPr>
          <w:p>
            <w:r>
              <w:rPr>
                <w:sz w:val="18"/>
              </w:rPr>
              <w:t>1</w:t>
            </w:r>
          </w:p>
        </w:tc>
        <w:tc>
          <w:tcPr>
            <w:tcW w:type="dxa" w:w="2880"/>
          </w:tcPr>
          <w:p>
            <w:r>
              <w:rPr>
                <w:sz w:val="18"/>
              </w:rPr>
              <w:t>Spotify</w:t>
            </w:r>
          </w:p>
        </w:tc>
        <w:tc>
          <w:tcPr>
            <w:tcW w:type="dxa" w:w="2880"/>
          </w:tcPr>
          <w:p>
            <w:r>
              <w:rPr>
                <w:sz w:val="18"/>
              </w:rPr>
              <w:t>50/70 (7.0/10)</w:t>
            </w:r>
          </w:p>
        </w:tc>
      </w:tr>
      <w:tr>
        <w:tc>
          <w:tcPr>
            <w:tcW w:type="dxa" w:w="2880"/>
          </w:tcPr>
          <w:p>
            <w:r>
              <w:rPr>
                <w:sz w:val="18"/>
              </w:rPr>
              <w:t>2</w:t>
            </w:r>
          </w:p>
        </w:tc>
        <w:tc>
          <w:tcPr>
            <w:tcW w:type="dxa" w:w="2880"/>
          </w:tcPr>
          <w:p>
            <w:r>
              <w:rPr>
                <w:sz w:val="18"/>
              </w:rPr>
              <w:t>SG Pools</w:t>
            </w:r>
          </w:p>
        </w:tc>
        <w:tc>
          <w:tcPr>
            <w:tcW w:type="dxa" w:w="2880"/>
          </w:tcPr>
          <w:p>
            <w:r>
              <w:rPr>
                <w:sz w:val="18"/>
              </w:rPr>
              <w:t>43/70 (6.0/10)</w:t>
            </w:r>
          </w:p>
        </w:tc>
      </w:tr>
      <w:tr>
        <w:tc>
          <w:tcPr>
            <w:tcW w:type="dxa" w:w="2880"/>
          </w:tcPr>
          <w:p>
            <w:r>
              <w:rPr>
                <w:sz w:val="18"/>
              </w:rPr>
              <w:t>3</w:t>
            </w:r>
          </w:p>
        </w:tc>
        <w:tc>
          <w:tcPr>
            <w:tcW w:type="dxa" w:w="2880"/>
          </w:tcPr>
          <w:p>
            <w:r>
              <w:rPr>
                <w:sz w:val="18"/>
              </w:rPr>
              <w:t>Speed Dating</w:t>
            </w:r>
          </w:p>
        </w:tc>
        <w:tc>
          <w:tcPr>
            <w:tcW w:type="dxa" w:w="2880"/>
          </w:tcPr>
          <w:p>
            <w:r>
              <w:rPr>
                <w:sz w:val="18"/>
              </w:rPr>
              <w:t>38/70 (5.5/10)</w:t>
            </w:r>
          </w:p>
        </w:tc>
      </w:tr>
      <w:tr>
        <w:tc>
          <w:tcPr>
            <w:tcW w:type="dxa" w:w="2880"/>
          </w:tcPr>
          <w:p>
            <w:r>
              <w:rPr>
                <w:sz w:val="18"/>
              </w:rPr>
              <w:t>4</w:t>
            </w:r>
          </w:p>
        </w:tc>
        <w:tc>
          <w:tcPr>
            <w:tcW w:type="dxa" w:w="2880"/>
          </w:tcPr>
          <w:p>
            <w:r>
              <w:rPr>
                <w:sz w:val="18"/>
              </w:rPr>
              <w:t>ESG Returns</w:t>
            </w:r>
          </w:p>
        </w:tc>
        <w:tc>
          <w:tcPr>
            <w:tcW w:type="dxa" w:w="2880"/>
          </w:tcPr>
          <w:p>
            <w:r>
              <w:rPr>
                <w:sz w:val="18"/>
              </w:rPr>
              <w:t>35/70 (5.0/10)</w:t>
            </w:r>
          </w:p>
        </w:tc>
      </w:tr>
      <w:tr>
        <w:tc>
          <w:tcPr>
            <w:tcW w:type="dxa" w:w="2880"/>
          </w:tcPr>
          <w:p>
            <w:r>
              <w:rPr>
                <w:sz w:val="18"/>
              </w:rPr>
              <w:t>5</w:t>
            </w:r>
          </w:p>
        </w:tc>
        <w:tc>
          <w:tcPr>
            <w:tcW w:type="dxa" w:w="2880"/>
          </w:tcPr>
          <w:p>
            <w:r>
              <w:rPr>
                <w:sz w:val="18"/>
              </w:rPr>
              <w:t>Weather-Tourism</w:t>
            </w:r>
          </w:p>
        </w:tc>
        <w:tc>
          <w:tcPr>
            <w:tcW w:type="dxa" w:w="2880"/>
          </w:tcPr>
          <w:p>
            <w:r>
              <w:rPr>
                <w:sz w:val="18"/>
              </w:rPr>
              <w:t>26/70 (3.0/10)</w:t>
            </w:r>
          </w:p>
        </w:tc>
      </w:tr>
      <w:tr>
        <w:tc>
          <w:tcPr>
            <w:tcW w:type="dxa" w:w="2880"/>
          </w:tcPr>
          <w:p>
            <w:r>
              <w:rPr>
                <w:sz w:val="18"/>
              </w:rPr>
              <w:t>6</w:t>
            </w:r>
          </w:p>
        </w:tc>
        <w:tc>
          <w:tcPr>
            <w:tcW w:type="dxa" w:w="2880"/>
          </w:tcPr>
          <w:p>
            <w:r>
              <w:rPr>
                <w:sz w:val="18"/>
              </w:rPr>
              <w:t>Dividends</w:t>
            </w:r>
          </w:p>
        </w:tc>
        <w:tc>
          <w:tcPr>
            <w:tcW w:type="dxa" w:w="2880"/>
          </w:tcPr>
          <w:p>
            <w:r>
              <w:rPr>
                <w:sz w:val="18"/>
              </w:rPr>
              <w:t>24/70 (3.0/10)</w:t>
            </w:r>
          </w:p>
        </w:tc>
      </w:tr>
      <w:tr>
        <w:tc>
          <w:tcPr>
            <w:tcW w:type="dxa" w:w="2880"/>
          </w:tcPr>
          <w:p>
            <w:r>
              <w:rPr>
                <w:sz w:val="18"/>
              </w:rPr>
              <w:t>7</w:t>
            </w:r>
          </w:p>
        </w:tc>
        <w:tc>
          <w:tcPr>
            <w:tcW w:type="dxa" w:w="2880"/>
          </w:tcPr>
          <w:p>
            <w:r>
              <w:rPr>
                <w:sz w:val="18"/>
              </w:rPr>
              <w:t>Telecom Churn</w:t>
            </w:r>
          </w:p>
        </w:tc>
        <w:tc>
          <w:tcPr>
            <w:tcW w:type="dxa" w:w="2880"/>
          </w:tcPr>
          <w:p>
            <w:r>
              <w:rPr>
                <w:sz w:val="18"/>
              </w:rPr>
              <w:t>28/70 (2.0/10)</w:t>
            </w:r>
          </w:p>
        </w:tc>
      </w:tr>
      <w:tr>
        <w:tc>
          <w:tcPr>
            <w:tcW w:type="dxa" w:w="2880"/>
          </w:tcPr>
          <w:p>
            <w:r>
              <w:rPr>
                <w:sz w:val="18"/>
              </w:rPr>
              <w:t>8</w:t>
            </w:r>
          </w:p>
        </w:tc>
        <w:tc>
          <w:tcPr>
            <w:tcW w:type="dxa" w:w="2880"/>
          </w:tcPr>
          <w:p>
            <w:r>
              <w:rPr>
                <w:sz w:val="18"/>
              </w:rPr>
              <w:t>Diversification</w:t>
            </w:r>
          </w:p>
        </w:tc>
        <w:tc>
          <w:tcPr>
            <w:tcW w:type="dxa" w:w="2880"/>
          </w:tcPr>
          <w:p>
            <w:r>
              <w:rPr>
                <w:sz w:val="18"/>
              </w:rPr>
              <w:t>17/70 (2.0/10)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