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Tablas dependientes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se puede realizar un INSERT en la tabla CMunicipio si no existe un registro (llave) en la tabla CEstado, ya que necesitamos saber a qué estado pertenece cada municipio. Tenemos municipios que tienen nombres homónimos, pero pertenecen a diferentes estados.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se puede realizar un INSERT en la tabla Salsa si no existe un registro (llave) en la tabla CPicor ya que las salsas se diferencían por el tipo de picante que tienen (dulce, bajo, medio, alto y extremo).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