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Noto Sans CJK SC" w:hAnsi="Noto Sans CJK SC" w:eastAsia="Noto Sans CJK SC" w:cs="Noto Sans CJK SC"/>
          <w:b/>
          <w:color w:val="2357E6"/>
          <w:sz w:val="24"/>
        </w:rPr>
        <w:t>AICP</w:t>
      </w:r>
    </w:p>
    <w:p>
      <w:pPr>
        <w:spacing w:before="480" w:after="80"/>
      </w:pPr>
      <w:r>
        <w:rPr>
          <w:rFonts w:ascii="Noto Sans CJK SC" w:hAnsi="Noto Sans CJK SC" w:eastAsia="Noto Sans CJK SC" w:cs="Noto Sans CJK SC"/>
          <w:b/>
          <w:color w:val="0B1739"/>
          <w:sz w:val="60"/>
        </w:rPr>
        <w:t>AI 漫剧与视频内容</w:t>
      </w:r>
    </w:p>
    <w:p>
      <w:pPr>
        <w:spacing w:after="240"/>
      </w:pPr>
      <w:r>
        <w:rPr>
          <w:rFonts w:ascii="Noto Sans CJK SC" w:hAnsi="Noto Sans CJK SC" w:eastAsia="Noto Sans CJK SC" w:cs="Noto Sans CJK SC"/>
          <w:b/>
          <w:color w:val="2357E6"/>
          <w:sz w:val="60"/>
        </w:rPr>
        <w:t>工业化生产工作台</w:t>
      </w:r>
    </w:p>
    <w:p>
      <w:pPr>
        <w:spacing w:before="20" w:after="160"/>
        <w:pBdr>
          <w:bottom w:val="single" w:sz="16" w:space="1" w:color="15B8A6"/>
        </w:pBdr>
      </w:pPr>
    </w:p>
    <w:p>
      <w:pPr>
        <w:spacing w:before="320" w:after="440"/>
      </w:pPr>
      <w:r>
        <w:rPr>
          <w:rFonts w:ascii="Noto Sans CJK SC" w:hAnsi="Noto Sans CJK SC" w:eastAsia="Noto Sans CJK SC" w:cs="Noto Sans CJK SC"/>
          <w:b/>
          <w:color w:val="172033"/>
          <w:sz w:val="30"/>
        </w:rPr>
        <w:t>从模型能力到可交付内容，让创作团队像一条可治理、可复用、可扩展的产线运行。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CONTENT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剧本、分镜、画布与资产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INTELLIGENCE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Agent、模型与工作流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GOVERNANCE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质量、成本与企业治理</w:t>
            </w:r>
          </w:p>
        </w:tc>
      </w:tr>
    </w:tbl>
    <w:p>
      <w:pPr>
        <w:spacing w:after="0"/>
      </w:pPr>
    </w:p>
    <w:p>
      <w:pPr>
        <w:spacing w:before="1080"/>
      </w:pPr>
      <w:r>
        <w:rPr>
          <w:rFonts w:ascii="Noto Sans CJK SC" w:hAnsi="Noto Sans CJK SC" w:eastAsia="Noto Sans CJK SC" w:cs="Noto Sans CJK SC"/>
          <w:b/>
          <w:color w:val="0B1739"/>
          <w:sz w:val="22"/>
        </w:rPr>
        <w:t>客户与投资人介绍版</w:t>
      </w:r>
    </w:p>
    <w:p>
      <w:r>
        <w:rPr>
          <w:rFonts w:ascii="Noto Sans CJK SC" w:hAnsi="Noto Sans CJK SC" w:eastAsia="Noto Sans CJK SC" w:cs="Noto Sans CJK SC"/>
          <w:b w:val="0"/>
          <w:color w:val="5D667A"/>
          <w:sz w:val="18"/>
        </w:rPr>
        <w:t>2026 年 8 月  ·  PRODUCT BRIEF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01 · EXECUTIVE SUMMARY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一套平台，连接创意、模型与交付</w:t>
      </w:r>
    </w:p>
    <w:p>
      <w:pPr>
        <w:spacing w:after="180"/>
      </w:pPr>
      <w:r>
        <w:rPr>
          <w:rFonts w:ascii="Noto Sans CJK SC" w:hAnsi="Noto Sans CJK SC" w:eastAsia="Noto Sans CJK SC" w:cs="Noto Sans CJK SC"/>
          <w:b w:val="0"/>
          <w:color w:val="5D667A"/>
          <w:sz w:val="21"/>
        </w:rPr>
        <w:t>AICP 的核心不是多一个生成入口，而是把内容生产全过程变成可管理的系统。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面向谁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漫剧、短剧、长篇内容与 TVC 团队；创作者、制片、企业管理者与模型运营人员。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解决什么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工具割裂、过程失控、经验难复制、模型接入重复以及成本与交付难追踪。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如何实现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内容生产工作台负责业务流程，模型服务控制台负责模型、渠道、计量与可观测性。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8F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15B8A6"/>
              <w:left w:val="single" w:sz="10" w:color="15B8A6"/>
              <w:bottom w:val="single" w:sz="10" w:color="15B8A6"/>
              <w:right w:val="single" w:sz="10" w:color="15B8A6"/>
              <w:insideH w:val="single" w:sz="10" w:color="15B8A6"/>
              <w:insideV w:val="single" w:sz="10" w:color="15B8A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对客户的价值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减少跨工具搬运，让项目、任务、版本、资产、质量和成本进入同一条可追踪生产链。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EDFF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7657F6"/>
              <w:left w:val="single" w:sz="10" w:color="7657F6"/>
              <w:bottom w:val="single" w:sz="10" w:color="7657F6"/>
              <w:right w:val="single" w:sz="10" w:color="7657F6"/>
              <w:insideH w:val="single" w:sz="10" w:color="7657F6"/>
              <w:insideV w:val="single" w:sz="10" w:color="7657F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对投资人的意义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从一次性生成工具升级为深入业务流程的生产基础设施，价值可由席位、用量、企业治理与生态服务多层承载。</w:t>
            </w:r>
          </w:p>
        </w:tc>
      </w:tr>
    </w:tbl>
    <w:p>
      <w:pPr>
        <w:spacing w:after="0"/>
      </w:pP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正确边界：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定位为生产工作台，不提供视频剪辑或多轨时间轴。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事实口径：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本文使用真实运行页面；空状态只证明产品结构，不代表经营规模。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02 · MARKET PROBLEM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内容生产进入 AI 时代，管理方式仍停留在工具时代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01 工具割裂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文本、图像、视频与配音分散，项目上下文反复搬运。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02 过程不可控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生成结果很多，采用版本、失败原因和交付状态难追踪。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03 经验难复制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导演、编剧与制片判断停留在个人，难固化为组织流程。</w:t>
            </w:r>
          </w:p>
        </w:tc>
      </w:tr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04 接入重复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多供应商、多协议、多计费口径增加研发和运维负担。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05 成本不透明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难回答谁调用了什么模型、花了多少、是否产生有效结果。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06 治理缺位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权限、预算、审批、审计和资产边界无法覆盖 AI 生产链。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B1739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15B8A6"/>
              <w:left w:val="single" w:sz="10" w:color="15B8A6"/>
              <w:bottom w:val="single" w:sz="10" w:color="15B8A6"/>
              <w:right w:val="single" w:sz="10" w:color="15B8A6"/>
              <w:insideH w:val="single" w:sz="10" w:color="15B8A6"/>
              <w:insideV w:val="single" w:sz="10" w:color="15B8A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关键判断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行业缺少的不是又一个模型入口，而是一套能够把创意、模型、流程、人和资产连接起来的生产操作系统。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03 · PRODUCT POSITIONING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双平台、同一条生产链</w:t>
      </w:r>
    </w:p>
    <w:p>
      <w:pPr>
        <w:spacing w:after="180"/>
      </w:pPr>
      <w:r>
        <w:rPr>
          <w:rFonts w:ascii="Noto Sans CJK SC" w:hAnsi="Noto Sans CJK SC" w:eastAsia="Noto Sans CJK SC" w:cs="Noto Sans CJK SC"/>
          <w:b w:val="0"/>
          <w:color w:val="5D667A"/>
          <w:sz w:val="21"/>
        </w:rPr>
        <w:t>内容体验与模型底座分层建设，既服务创作者，也服务技术与运营团队。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840" w:hRule="atLeast"/>
        </w:trPr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B1739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内容生产工作台 · 8080</w:t>
            </w:r>
          </w:p>
        </w:tc>
        <w:tc>
          <w:tcPr>
            <w:tcW w:type="dxa" w:w="1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E8F8F5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创作与生产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B1739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1"/>
              </w:rPr>
              <w:t>模型服务控制台 · 3001</w:t>
            </w:r>
          </w:p>
        </w:tc>
      </w:tr>
      <w:tr>
        <w:trPr>
          <w:trHeight w:val="680" w:hRule="atLeast"/>
        </w:trPr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B1739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FFFFFF"/>
                <w:sz w:val="18"/>
              </w:rPr>
              <w:t>剧本 · 分镜 · 画布 · 资产</w:t>
            </w:r>
          </w:p>
        </w:tc>
        <w:tc>
          <w:tcPr>
            <w:tcW w:type="dxa" w:w="1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E8F8F5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18"/>
              </w:rPr>
              <w:t>任务 / 结果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B1739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FFFFFF"/>
                <w:sz w:val="18"/>
              </w:rPr>
              <w:t>模型 · 渠道 · 路由 · 计量</w:t>
            </w:r>
          </w:p>
        </w:tc>
      </w:tr>
      <w:tr>
        <w:trPr>
          <w:trHeight w:val="680" w:hRule="atLeast"/>
        </w:trPr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B1739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FFFFFF"/>
                <w:sz w:val="18"/>
              </w:rPr>
              <w:t>Agent · SOP · 企业业务</w:t>
            </w:r>
          </w:p>
        </w:tc>
        <w:tc>
          <w:tcPr>
            <w:tcW w:type="dxa" w:w="12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E8F8F5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18"/>
              </w:rPr>
              <w:t>状态 / 成本</w:t>
            </w:r>
          </w:p>
        </w:tc>
        <w:tc>
          <w:tcPr>
            <w:tcW w:type="dxa" w:w="41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shd w:fill="0B1739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FFFFFF"/>
                <w:sz w:val="18"/>
              </w:rPr>
              <w:t>日志 · 额度 · 可观测性</w:t>
            </w:r>
          </w:p>
        </w:tc>
      </w:tr>
    </w:tbl>
    <w:p/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8080 内容生产工作台：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承载内容项目、剧本、分镜、画布、资产、Agent、SOP 与企业业务。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3001 模型服务控制台：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承载模型目录、上游渠道、路由、额度、日志和调用成本。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协同关系：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生产端提出任务，模型端统一调用和计量，结果回到资产与任务体系沉淀。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0FF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2357E6"/>
              <w:left w:val="single" w:sz="10" w:color="2357E6"/>
              <w:bottom w:val="single" w:sz="10" w:color="2357E6"/>
              <w:right w:val="single" w:sz="10" w:color="2357E6"/>
              <w:insideH w:val="single" w:sz="10" w:color="2357E6"/>
              <w:insideV w:val="single" w:sz="10" w:color="2357E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当前账号边界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两端通过短时 SSO/JWT 桥与用户映射协同；完整统一账户仍处于演进过程中，本文不将目标态表述为已完成。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04 · PRODUCTION LOOP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从故事种子，到可交付素材包</w:t>
      </w:r>
    </w:p>
    <w:p>
      <w:pPr>
        <w:spacing w:after="180"/>
      </w:pPr>
      <w:r>
        <w:rPr>
          <w:rFonts w:ascii="Noto Sans CJK SC" w:hAnsi="Noto Sans CJK SC" w:eastAsia="Noto Sans CJK SC" w:cs="Noto Sans CJK SC"/>
          <w:b w:val="0"/>
          <w:color w:val="5D667A"/>
          <w:sz w:val="21"/>
        </w:rPr>
        <w:t>每个生成结果都进入版本、任务、质量、成本和资产关系，而不是停留在聊天窗口。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434"/>
            <w:shd w:fill="0B1739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01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故事种子</w:t>
            </w:r>
          </w:p>
        </w:tc>
        <w:tc>
          <w:tcPr>
            <w:tcW w:type="dxa" w:w="1434"/>
            <w:shd w:fill="2357E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02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剧本 / 世界观</w:t>
            </w:r>
          </w:p>
        </w:tc>
        <w:tc>
          <w:tcPr>
            <w:tcW w:type="dxa" w:w="1434"/>
            <w:shd w:fill="7657F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03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分集 / 分镜</w:t>
            </w:r>
          </w:p>
        </w:tc>
        <w:tc>
          <w:tcPr>
            <w:tcW w:type="dxa" w:w="1434"/>
            <w:shd w:fill="0B1739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04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画布编排</w:t>
            </w:r>
          </w:p>
        </w:tc>
        <w:tc>
          <w:tcPr>
            <w:tcW w:type="dxa" w:w="1434"/>
            <w:shd w:fill="2357E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05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多模型生成</w:t>
            </w:r>
          </w:p>
        </w:tc>
        <w:tc>
          <w:tcPr>
            <w:tcW w:type="dxa" w:w="1434"/>
            <w:shd w:fill="7657F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06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Agent / SOP</w:t>
            </w:r>
          </w:p>
        </w:tc>
        <w:tc>
          <w:tcPr>
            <w:tcW w:type="dxa" w:w="1434"/>
            <w:shd w:fill="15B8A6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20" w:type="dxa"/>
              <w:start w:w="70" w:type="dxa"/>
              <w:bottom w:w="12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07</w:t>
            </w:r>
          </w:p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资产 / 交付</w:t>
            </w:r>
          </w:p>
        </w:tc>
      </w:tr>
      <w:tr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357E6"/>
                <w:sz w:val="26"/>
              </w:rPr>
              <w:t>→</w:t>
            </w:r>
          </w:p>
        </w:tc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357E6"/>
                <w:sz w:val="26"/>
              </w:rPr>
              <w:t>→</w:t>
            </w:r>
          </w:p>
        </w:tc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357E6"/>
                <w:sz w:val="26"/>
              </w:rPr>
              <w:t>→</w:t>
            </w:r>
          </w:p>
        </w:tc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357E6"/>
                <w:sz w:val="26"/>
              </w:rPr>
              <w:t>→</w:t>
            </w:r>
          </w:p>
        </w:tc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357E6"/>
                <w:sz w:val="26"/>
              </w:rPr>
              <w:t>→</w:t>
            </w:r>
          </w:p>
        </w:tc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357E6"/>
                <w:sz w:val="26"/>
              </w:rPr>
              <w:t>→</w:t>
            </w:r>
          </w:p>
        </w:tc>
        <w:tc>
          <w:tcPr>
            <w:tcW w:type="dxa" w:w="1434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5B8A6"/>
                <w:sz w:val="26"/>
              </w:rPr>
              <w:t>✓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可追踪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知道结果从哪里来、用过什么模型、经历过哪些审核。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可复用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角色、场景、镜头、提示与工作流持续沉淀为项目资产。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可治理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生产准入、返工、权限、预算与审计覆盖关键动作。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B1739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15B8A6"/>
              <w:left w:val="single" w:sz="10" w:color="15B8A6"/>
              <w:bottom w:val="single" w:sz="10" w:color="15B8A6"/>
              <w:right w:val="single" w:sz="10" w:color="15B8A6"/>
              <w:insideH w:val="single" w:sz="10" w:color="15B8A6"/>
              <w:insideV w:val="single" w:sz="10" w:color="15B8A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闭环价值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AICP 优化的不是一次提示词，而是从创作决策到素材交付的整条价值链。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05 · UNIFIED WORKSPACE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三类创作，共用一套生产底座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11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8080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1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1｜AICP 内容生产工作台首页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短剧、长篇与 TVC 从同一入口创建；创作、画布、内容交易、Agent、资产、企业与 SOP 在统一导航中协同。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8F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15B8A6"/>
              <w:left w:val="single" w:sz="10" w:color="15B8A6"/>
              <w:bottom w:val="single" w:sz="10" w:color="15B8A6"/>
              <w:right w:val="single" w:sz="10" w:color="15B8A6"/>
              <w:insideH w:val="single" w:sz="10" w:color="15B8A6"/>
              <w:insideV w:val="single" w:sz="10" w:color="15B8A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业务价值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内容类型可以不同，但项目、任务、资产和治理方式保持一致，降低团队扩大品类时的系统复杂度。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06 · SCRIPT &amp; IP ASSETS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剧本不是文件，而是生产链的上游资产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8080-script-g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2｜剧本创作启动台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快速创作、专业分步创作、已有文稿导入与 TVC 创作覆盖不同成熟度和内容类型。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8080-warehou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3｜剧本仓库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草稿、审核、锁稿、生产、完成与归档状态连接内容决策和后续生产。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07 · VISUAL PRODUCTION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用画布编排生产，而不是堆叠工具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11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8080-canvas-pro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4｜画布项目中心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画布承接剧本与分镜之后的可视化生产，通过项目、状态与模式组织生产单元。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节点化：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角色、场景、分镜、图片、视频和任务可以在同一空间组织。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批量化：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工作流模板和生成任务让重复步骤可复用、可规模化。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边界清晰：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平台聚焦生产编排与素材交付，不替代专业剪辑器。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08 · ASSET OPERATIONS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成功结果和失败任务，都进入同一个资产视图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116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8080-asset-workben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1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5｜资产生成工作台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页面展示排队中、失败、任务类型、模型与错误原因，异常不再散落在各个供应商后台。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生成记录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保留任务状态、模型和执行结果。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资产组织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按项目、集合与业务类型分类管理。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生产复用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资产可发送到画布、重新生成、归档或进入后续交付。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09 · AGENT &amp; SOP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把个人经验，变成可配置的组织能力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8080-agent-confi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6｜Agent 配置中心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Agent 拥有独立配置入口，为角色蓝图、版本、绑定、试跑和执行快照提供承载。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8080-s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7｜工业化生产 SOP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以项目为单位查看生产准入与返工工单；权威规格进一步定义生产 Gate、规则引擎和失败恢复。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10 · ENTERPRISE GOVERNANCE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让一支团队，像一个系统运转</w:t>
      </w:r>
    </w:p>
    <w:p>
      <w:pPr>
        <w:spacing w:after="180"/>
      </w:pPr>
      <w:r>
        <w:rPr>
          <w:rFonts w:ascii="Noto Sans CJK SC" w:hAnsi="Noto Sans CJK SC" w:eastAsia="Noto Sans CJK SC" w:cs="Noto Sans CJK SC"/>
          <w:b w:val="0"/>
          <w:color w:val="5D667A"/>
          <w:sz w:val="21"/>
        </w:rPr>
        <w:t>企业价值不止来自更多席位，而来自生产动作进入权限、预算、审批和审计体系。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Workspace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个人空间与企业空间形成清晰的数据和资产边界。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组织权限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部门、成员、角色与数据范围决定谁能看、谁能操作。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统一审批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采购、资产发布和项目导出等关键动作集中呈现。</w:t>
            </w:r>
          </w:p>
        </w:tc>
      </w:tr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采购预算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预算是治理配额，账户余额与账本仍由模型服务账户域负责。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跨域审计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内容、资产、交易和交付的关键操作形成可追溯记录。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故障关闭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依赖账户域的关键操作在不可用时拒绝伪成功，保护权限与资金安全。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EDFF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7657F6"/>
              <w:left w:val="single" w:sz="10" w:color="7657F6"/>
              <w:bottom w:val="single" w:sz="10" w:color="7657F6"/>
              <w:right w:val="single" w:sz="10" w:color="7657F6"/>
              <w:insideH w:val="single" w:sz="10" w:color="7657F6"/>
              <w:insideV w:val="single" w:sz="10" w:color="7657F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当前状态说明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企业能力采用领域化渐进完成方式；本地企业概览接口仍需继续联调，因此本页只呈现已确认的架构与产品边界，不使用异常页面截图。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11 · MODEL INFRASTRUCTURE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把多模型复杂度，收敛为一个可管理的底座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3001-chann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8｜模型渠道管理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统一管理上游供应商、渠道状态、类型、筛选、路由与重试设置。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3001-mode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9｜模型元数据管理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模型名称、供应商、端点、标签、授权包与部署信息进入统一目录。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12 · COST &amp; PERFORMANCE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调用、性能与成本，在同一张图上被看见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0119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3001-model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10｜模型调用分析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统一观察调用量、额度、Token、RPM、TPM、消耗分布和趋势；空数据为当前环境状态，不代表经营结果。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8F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15B8A6"/>
              <w:left w:val="single" w:sz="10" w:color="15B8A6"/>
              <w:bottom w:val="single" w:sz="10" w:color="15B8A6"/>
              <w:right w:val="single" w:sz="10" w:color="15B8A6"/>
              <w:insideH w:val="single" w:sz="10" w:color="15B8A6"/>
              <w:insideV w:val="single" w:sz="10" w:color="15B8A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管理价值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模型能力只有进入用量、性能和成本的共同视图，才真正具备企业级可运营性。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13 · TRACEABILITY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同步调用与异步任务，采用两套可追踪视图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3001-usage-lo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11｜使用日志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按时间、渠道、用户、令牌、模型、Token 与费用追踪同步请求。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57800" cy="2528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3001-task-lo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SC" w:hAnsi="Noto Sans CJK SC" w:eastAsia="Noto Sans CJK SC" w:cs="Noto Sans CJK SC"/>
          <w:b/>
          <w:color w:val="0B1739"/>
          <w:sz w:val="18"/>
        </w:rPr>
        <w:t>图 12｜任务日志</w:t>
      </w:r>
    </w:p>
    <w:p>
      <w:pPr>
        <w:spacing w:after="12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异步生成任务进一步记录任务编号、运行时间、状态与详情。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14 · DIFFERENTIATION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AICP 的壁垒，不是某一个模型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生产闭环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从创意到交付，价值跨越多个角色和生产阶段。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双平台协同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业务体验与模型底座分层，保持独立演进和清晰责任。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可治理 AI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Agent、SOP、审批、预算和审计将生成纳入企业规则。</w:t>
            </w:r>
          </w:p>
        </w:tc>
      </w:tr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资产关系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版本、任务、提示、结果与采用关系持续形成复用网络。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模型适配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统一渠道、协议和元数据，降低模型供给变化对业务的冲击。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流程数据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质量、失败、返工、成本和交付数据积累为持续优化的基础。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B1739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15B8A6"/>
              <w:left w:val="single" w:sz="10" w:color="15B8A6"/>
              <w:bottom w:val="single" w:sz="10" w:color="15B8A6"/>
              <w:right w:val="single" w:sz="10" w:color="15B8A6"/>
              <w:insideH w:val="single" w:sz="10" w:color="15B8A6"/>
              <w:insideV w:val="single" w:sz="10" w:color="15B8A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飞轮逻辑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模型越丰富，统一编排和治理越有价值；项目使用越深入，流程与资产关系越完整，迁移成本也越高。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15 · CUSTOMER VALUE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客户购买的不是功能清单，而是确定性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效率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统一入口减少跨工具切换、重复录入和上下文搬运。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质量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分镜、版本、生产 Gate 与返工机制让审核有依据。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成本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模型路由、用量和日志让费用可见、可定位。</w:t>
            </w:r>
          </w:p>
        </w:tc>
      </w:tr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协作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项目、Workspace、角色与任务形成团队共同事实源。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资产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角色、场景、镜头和生成记录从个人文件变成可复用资产。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交付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采用版本、质量状态和素材清单可追踪，降低交接风险。</w:t>
            </w:r>
          </w:p>
        </w:tc>
      </w:tr>
    </w:tbl>
    <w:p>
      <w:pPr>
        <w:spacing w:after="0"/>
      </w:pP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内容制作公司：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提升多项目、多团队并行生产的一致性和可控性。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MCN / 漫剧团队：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用标准流程降低新人上手与大批量生产的管理成本。</w:t>
      </w:r>
    </w:p>
    <w:p>
      <w:pPr>
        <w:spacing w:after="120"/>
        <w:ind w:left="57" w:hanging="57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 xml:space="preserve">●  </w:t>
      </w:r>
      <w:r>
        <w:rPr>
          <w:rFonts w:ascii="Noto Sans CJK SC" w:hAnsi="Noto Sans CJK SC" w:eastAsia="Noto Sans CJK SC" w:cs="Noto Sans CJK SC"/>
          <w:b/>
          <w:color w:val="0B1739"/>
          <w:sz w:val="21"/>
        </w:rPr>
        <w:t>品牌与企业客户：</w:t>
      </w:r>
      <w:r>
        <w:rPr>
          <w:rFonts w:ascii="Noto Sans CJK SC" w:hAnsi="Noto Sans CJK SC" w:eastAsia="Noto Sans CJK SC" w:cs="Noto Sans CJK SC"/>
          <w:b w:val="0"/>
          <w:color w:val="172033"/>
          <w:sz w:val="20"/>
        </w:rPr>
        <w:t>让生成内容进入权限、预算、审计和合规边界。</w:t>
      </w: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16 · BUSINESS &amp; INVESTMENT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从创作者工具，向内容生产基础设施延展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席位与团队版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以创作者和团队协作为入口，建立稳定使用关系。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模型用量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通过统一模型调用与增值服务承接生产规模增长。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企业治理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权限、预算、审批、审计和私有化形成更高价值方案。</w:t>
            </w:r>
          </w:p>
        </w:tc>
      </w:tr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开放集成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API、模型渠道与业务系统集成扩大平台边界。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内容与资产服务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交易、授权和生态服务提供进一步商业化空间。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联合解决方案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与内容机构、模型厂商和交付伙伴共同沉淀行业模板。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0EDFF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single" w:sz="10" w:color="7657F6"/>
              <w:left w:val="single" w:sz="10" w:color="7657F6"/>
              <w:bottom w:val="single" w:sz="10" w:color="7657F6"/>
              <w:right w:val="single" w:sz="10" w:color="7657F6"/>
              <w:insideH w:val="single" w:sz="10" w:color="7657F6"/>
              <w:insideV w:val="single" w:sz="10" w:color="7657F6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0B1739"/>
                <w:sz w:val="21"/>
              </w:rPr>
              <w:t>规模化路径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9"/>
              </w:rPr>
              <w:t>创作者工具 → 团队生产系统 → 企业控制面 → 内容与资产生态。本文不提供未经验证的收入预测或市场规模数字。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rPr>
          <w:rFonts w:ascii="Noto Sans CJK SC" w:hAnsi="Noto Sans CJK SC" w:eastAsia="Noto Sans CJK SC" w:cs="Noto Sans CJK SC"/>
          <w:b/>
          <w:color w:val="2357E6"/>
          <w:sz w:val="17"/>
        </w:rPr>
        <w:t>17 · PARTNERSHIP</w:t>
      </w:r>
    </w:p>
    <w:p>
      <w:pPr>
        <w:pStyle w:val="Heading1"/>
      </w:pPr>
      <w:r>
        <w:rPr>
          <w:rFonts w:ascii="Noto Sans CJK SC" w:hAnsi="Noto Sans CJK SC" w:eastAsia="Noto Sans CJK SC" w:cs="Noto Sans CJK SC"/>
          <w:b/>
          <w:color w:val="0B1739"/>
          <w:sz w:val="42"/>
        </w:rPr>
        <w:t>从模型到作品，从工具到基础设施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团队 / 企业工作台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围绕客户内容类型和生产 SOP 配置工作空间与流程。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私有化部署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结合数据边界、合规要求和模型供应设计部署方案。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模型与渠道接入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统一上游模型、路由、调用观察与成本治理。</w:t>
            </w:r>
          </w:p>
        </w:tc>
      </w:tr>
      <w:tr>
        <w:trPr>
          <w:trHeight w:val="1150" w:hRule="atLeast"/>
        </w:trPr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AF0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API 与系统集成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连接客户已有内容、资产、审批和交付系统。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E8F8F5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流程共建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将编剧、分镜、导演、质检与交付经验沉淀为模板。</w:t>
            </w:r>
          </w:p>
        </w:tc>
        <w:tc>
          <w:tcPr>
            <w:tcW w:type="dxa" w:w="3312"/>
            <w:vAlign w:val="center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10" w:color="FFFFFF"/>
              <w:left w:val="single" w:sz="10" w:color="FFFFFF"/>
              <w:bottom w:val="single" w:sz="10" w:color="FFFFFF"/>
              <w:right w:val="single" w:sz="10" w:color="FFFFFF"/>
              <w:insideH w:val="single" w:sz="10" w:color="FFFFFF"/>
              <w:insideV w:val="single" w:sz="10" w:color="FFFFFF"/>
            </w:tcBorders>
            <w:shd w:fill="F0EDFF"/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0B1739"/>
                <w:sz w:val="22"/>
              </w:rPr>
              <w:t>联合解决方案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 w:val="0"/>
                <w:color w:val="5D667A"/>
                <w:sz w:val="17"/>
              </w:rPr>
              <w:t>与内容机构、模型厂商和行业伙伴共同打造场景方案。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Noto Sans CJK SC" w:hAnsi="Noto Sans CJK SC" w:eastAsia="Noto Sans CJK SC" w:cs="Noto Sans CJK SC"/>
          <w:b/>
          <w:color w:val="2357E6"/>
          <w:sz w:val="52"/>
        </w:rPr>
        <w:t>AICP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0B1739"/>
          <w:sz w:val="28"/>
        </w:rPr>
        <w:t>让每一次生成，都成为可管理、可复用、可交付的生产资产。</w:t>
      </w:r>
    </w:p>
    <w:p>
      <w:pPr>
        <w:spacing w:before="20" w:after="160"/>
        <w:pBdr>
          <w:bottom w:val="single" w:sz="16" w:space="1" w:color="15B8A6"/>
        </w:pBdr>
      </w:pPr>
    </w:p>
    <w:p>
      <w:pPr>
        <w:spacing w:before="280"/>
      </w:pPr>
      <w:r>
        <w:rPr>
          <w:rFonts w:ascii="Noto Sans CJK SC" w:hAnsi="Noto Sans CJK SC" w:eastAsia="Noto Sans CJK SC" w:cs="Noto Sans CJK SC"/>
          <w:b w:val="0"/>
          <w:color w:val="5D667A"/>
          <w:sz w:val="17"/>
        </w:rPr>
        <w:t>说明：本文依据 2026-08-14 本地运行页面与 docs/01-core/ 权威产品资料整理。页面空状态只用于展示产品结构，不代表客户规模或经营成果。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07" w:right="935" w:bottom="822" w:left="935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b w:val="0"/>
        <w:color w:val="5D667A"/>
        <w:sz w:val="16"/>
      </w:rPr>
      <w:t xml:space="preserve">AICP 产品介绍  ·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CE3EE"/>
      </w:pBdr>
    </w:pPr>
    <w:r>
      <w:rPr>
        <w:rFonts w:ascii="Noto Sans CJK SC" w:hAnsi="Noto Sans CJK SC" w:eastAsia="Noto Sans CJK SC" w:cs="Noto Sans CJK SC"/>
        <w:b/>
        <w:color w:val="5D667A"/>
        <w:sz w:val="15"/>
      </w:rPr>
      <w:t>AICP  |  AI CONTENT PRODUCTION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73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357E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B173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B173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60"/>
    </w:pPr>
    <w:rPr>
      <w:rFonts w:ascii="Noto Sans CJK SC" w:hAnsi="Noto Sans CJK SC" w:eastAsia="Noto Sans CJK SC"/>
      <w:b/>
      <w:color w:val="2357E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AICP 产品介绍｜客户与投资人版</dc:title>
  <dc:subject>AI 漫剧与视频内容工业化生产工作台</dc:subject>
  <dc:creator>AICP</dc:creator>
  <cp:keywords>AICP, AI漫剧, 内容生产, 模型网关, Agent,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