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CA-J Growth System — Recovery Report</w:t>
      </w:r>
    </w:p>
    <w:p>
      <w:pPr>
        <w:jc w:val="center"/>
      </w:pPr>
      <w:r>
        <w:t>Chuck Ashley  |  512-229-9199  |  chuck@ca-jconsulting.com</w:t>
        <w:br/>
        <w:t>CA&amp;J Enterprises LLC  |  Generated 2026-09-13 19:23</w:t>
      </w:r>
    </w:p>
    <w:p>
      <w:pPr>
        <w:pStyle w:val="Heading1"/>
      </w:pPr>
      <w:r>
        <w:t>1. What happened</w:t>
      </w:r>
    </w:p>
    <w:p>
      <w:pPr>
        <w:pStyle w:val="ListBullet"/>
      </w:pPr>
      <w:r>
        <w:t>During the build session on 2026-09-13 the project folder was WIPED. Everything inside agency-agents\caj-growth-system was removed except a single Word file — the compiled spec document — which happened to be a copy made minutes earlier.</w:t>
      </w:r>
    </w:p>
    <w:p>
      <w:pPr>
        <w:pStyle w:val="ListBullet"/>
      </w:pPr>
      <w:r>
        <w:t>Lost: CLAUDE.md (the guardrail file), README.md, run-claude.sh, the whole specs/ folder (6 build specs), the whole playbooks/ folder (6 extracted playbooks), and the tools/ folder.</w:t>
      </w:r>
    </w:p>
    <w:p>
      <w:pPr>
        <w:pStyle w:val="ListBullet"/>
      </w:pPr>
      <w:r>
        <w:t>The cause was not determined. It occurred within about three minutes of a write attempt to CLAUDE.md, which is classified as a protected agent-instruction file. No user action caused it.</w:t>
      </w:r>
    </w:p>
    <w:p>
      <w:pPr>
        <w:pStyle w:val="ListBullet"/>
      </w:pPr>
      <w:r>
        <w:t>The original .docx source playbooks in OneDrive\Desktop\Hermes were NOT affected and remain the authoritative source.</w:t>
      </w:r>
    </w:p>
    <w:p>
      <w:pPr>
        <w:pStyle w:val="Heading1"/>
      </w:pPr>
      <w:r>
        <w:t>2. What survived</w:t>
      </w:r>
    </w:p>
    <w:p>
      <w:r>
        <w:t>CA-J-Growth-System-Build-Specs.docx — 142,062 bytes. This single file contained the full text of all six build specs, rendered with real Word heading styles and tables, which made a faithful reconstruction possible.</w:t>
      </w:r>
    </w:p>
    <w:p>
      <w:pPr>
        <w:pStyle w:val="Heading1"/>
      </w:pPr>
      <w:r>
        <w:t>3. How it was recovered</w:t>
      </w:r>
    </w:p>
    <w:p>
      <w:pPr>
        <w:pStyle w:val="ListBullet"/>
      </w:pPr>
      <w:r>
        <w:t>The Word document was parsed back into markdown. Because the specs had been written into Word with genuine Heading 1/2/3 styles and real tables, headings, tables, numbered lists and bullets could all be reconstructed rather than retyped.</w:t>
      </w:r>
    </w:p>
    <w:p>
      <w:pPr>
        <w:pStyle w:val="ListBullet"/>
      </w:pPr>
      <w:r>
        <w:t>A parser bug was found and fixed during recovery: each spec begins with TWO Heading-1 lines (a numbered title and a 'SPEC-0N —' subtitle). The first parser treated the subtitle as the end of the section and dropped everything after it, producing six empty files. Fixed by only switching sections on a recognised numbered title.</w:t>
      </w:r>
    </w:p>
    <w:p>
      <w:pPr>
        <w:pStyle w:val="ListBullet"/>
      </w:pPr>
      <w:r>
        <w:t>The six playbooks were re-extracted from the untouched original .docx files.</w:t>
      </w:r>
    </w:p>
    <w:p>
      <w:pPr>
        <w:pStyle w:val="ListBullet"/>
      </w:pPr>
      <w:r>
        <w:t>CLAUDE.md, README.md and run-claude.sh were rewritten from scratch.</w:t>
      </w:r>
    </w:p>
    <w:p>
      <w:pPr>
        <w:pStyle w:val="Heading1"/>
      </w:pPr>
      <w:r>
        <w:t>4. Current verified file inventory</w:t>
      </w:r>
    </w:p>
    <w:p>
      <w:r>
        <w:t>Measured live at the time this report was generated: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Bytes</w:t>
            </w:r>
          </w:p>
        </w:tc>
      </w:tr>
      <w:tr>
        <w:tc>
          <w:tcPr>
            <w:tcW w:type="dxa" w:w="4320"/>
          </w:tcPr>
          <w:p>
            <w:r>
              <w:t>CA-J-Growth-System-Build-Specs.docx</w:t>
            </w:r>
          </w:p>
        </w:tc>
        <w:tc>
          <w:tcPr>
            <w:tcW w:type="dxa" w:w="4320"/>
          </w:tcPr>
          <w:p>
            <w:r>
              <w:t>142,062</w:t>
            </w:r>
          </w:p>
        </w:tc>
      </w:tr>
      <w:tr>
        <w:tc>
          <w:tcPr>
            <w:tcW w:type="dxa" w:w="4320"/>
          </w:tcPr>
          <w:p>
            <w:r>
              <w:t>CLAUDE.md</w:t>
            </w:r>
          </w:p>
        </w:tc>
        <w:tc>
          <w:tcPr>
            <w:tcW w:type="dxa" w:w="4320"/>
          </w:tcPr>
          <w:p>
            <w:r>
              <w:t>8,308</w:t>
            </w:r>
          </w:p>
        </w:tc>
      </w:tr>
      <w:tr>
        <w:tc>
          <w:tcPr>
            <w:tcW w:type="dxa" w:w="4320"/>
          </w:tcPr>
          <w:p>
            <w:r>
              <w:t>README.md</w:t>
            </w:r>
          </w:p>
        </w:tc>
        <w:tc>
          <w:tcPr>
            <w:tcW w:type="dxa" w:w="4320"/>
          </w:tcPr>
          <w:p>
            <w:r>
              <w:t>5,347</w:t>
            </w:r>
          </w:p>
        </w:tc>
      </w:tr>
      <w:tr>
        <w:tc>
          <w:tcPr>
            <w:tcW w:type="dxa" w:w="4320"/>
          </w:tcPr>
          <w:p>
            <w:r>
              <w:t>playbooks\01-8-best-ai-automations.md</w:t>
            </w:r>
          </w:p>
        </w:tc>
        <w:tc>
          <w:tcPr>
            <w:tcW w:type="dxa" w:w="4320"/>
          </w:tcPr>
          <w:p>
            <w:r>
              <w:t>13,714</w:t>
            </w:r>
          </w:p>
        </w:tc>
      </w:tr>
      <w:tr>
        <w:tc>
          <w:tcPr>
            <w:tcW w:type="dxa" w:w="4320"/>
          </w:tcPr>
          <w:p>
            <w:r>
              <w:t>playbooks\02-ai-employee-action-plan.md</w:t>
            </w:r>
          </w:p>
        </w:tc>
        <w:tc>
          <w:tcPr>
            <w:tcW w:type="dxa" w:w="4320"/>
          </w:tcPr>
          <w:p>
            <w:r>
              <w:t>40,502</w:t>
            </w:r>
          </w:p>
        </w:tc>
      </w:tr>
      <w:tr>
        <w:tc>
          <w:tcPr>
            <w:tcW w:type="dxa" w:w="4320"/>
          </w:tcPr>
          <w:p>
            <w:r>
              <w:t>playbooks\03-high-ticket-agency-action-plan.md</w:t>
            </w:r>
          </w:p>
        </w:tc>
        <w:tc>
          <w:tcPr>
            <w:tcW w:type="dxa" w:w="4320"/>
          </w:tcPr>
          <w:p>
            <w:r>
              <w:t>44,091</w:t>
            </w:r>
          </w:p>
        </w:tc>
      </w:tr>
      <w:tr>
        <w:tc>
          <w:tcPr>
            <w:tcW w:type="dxa" w:w="4320"/>
          </w:tcPr>
          <w:p>
            <w:r>
              <w:t>playbooks\04-facebook-ads-ghl-ai-studio-sop.md</w:t>
            </w:r>
          </w:p>
        </w:tc>
        <w:tc>
          <w:tcPr>
            <w:tcW w:type="dxa" w:w="4320"/>
          </w:tcPr>
          <w:p>
            <w:r>
              <w:t>28,978</w:t>
            </w:r>
          </w:p>
        </w:tc>
      </w:tr>
      <w:tr>
        <w:tc>
          <w:tcPr>
            <w:tcW w:type="dxa" w:w="4320"/>
          </w:tcPr>
          <w:p>
            <w:r>
              <w:t>playbooks\05-ghl-ai-studio-seo.md</w:t>
            </w:r>
          </w:p>
        </w:tc>
        <w:tc>
          <w:tcPr>
            <w:tcW w:type="dxa" w:w="4320"/>
          </w:tcPr>
          <w:p>
            <w:r>
              <w:t>28,250</w:t>
            </w:r>
          </w:p>
        </w:tc>
      </w:tr>
      <w:tr>
        <w:tc>
          <w:tcPr>
            <w:tcW w:type="dxa" w:w="4320"/>
          </w:tcPr>
          <w:p>
            <w:r>
              <w:t>playbooks\06-single-workflow.md</w:t>
            </w:r>
          </w:p>
        </w:tc>
        <w:tc>
          <w:tcPr>
            <w:tcW w:type="dxa" w:w="4320"/>
          </w:tcPr>
          <w:p>
            <w:r>
              <w:t>26,846</w:t>
            </w:r>
          </w:p>
        </w:tc>
      </w:tr>
      <w:tr>
        <w:tc>
          <w:tcPr>
            <w:tcW w:type="dxa" w:w="4320"/>
          </w:tcPr>
          <w:p>
            <w:r>
              <w:t>run-claude.sh</w:t>
            </w:r>
          </w:p>
        </w:tc>
        <w:tc>
          <w:tcPr>
            <w:tcW w:type="dxa" w:w="4320"/>
          </w:tcPr>
          <w:p>
            <w:r>
              <w:t>1,265</w:t>
            </w:r>
          </w:p>
        </w:tc>
      </w:tr>
      <w:tr>
        <w:tc>
          <w:tcPr>
            <w:tcW w:type="dxa" w:w="4320"/>
          </w:tcPr>
          <w:p>
            <w:r>
              <w:t>specs\SPEC-01-8-best-ai-automations.md</w:t>
            </w:r>
          </w:p>
        </w:tc>
        <w:tc>
          <w:tcPr>
            <w:tcW w:type="dxa" w:w="4320"/>
          </w:tcPr>
          <w:p>
            <w:r>
              <w:t>26,837</w:t>
            </w:r>
          </w:p>
        </w:tc>
      </w:tr>
      <w:tr>
        <w:tc>
          <w:tcPr>
            <w:tcW w:type="dxa" w:w="4320"/>
          </w:tcPr>
          <w:p>
            <w:r>
              <w:t>specs\SPEC-02-ai-employee.md</w:t>
            </w:r>
          </w:p>
        </w:tc>
        <w:tc>
          <w:tcPr>
            <w:tcW w:type="dxa" w:w="4320"/>
          </w:tcPr>
          <w:p>
            <w:r>
              <w:t>33,482</w:t>
            </w:r>
          </w:p>
        </w:tc>
      </w:tr>
      <w:tr>
        <w:tc>
          <w:tcPr>
            <w:tcW w:type="dxa" w:w="4320"/>
          </w:tcPr>
          <w:p>
            <w:r>
              <w:t>specs\SPEC-03-high-ticket-agency.md</w:t>
            </w:r>
          </w:p>
        </w:tc>
        <w:tc>
          <w:tcPr>
            <w:tcW w:type="dxa" w:w="4320"/>
          </w:tcPr>
          <w:p>
            <w:r>
              <w:t>39,906</w:t>
            </w:r>
          </w:p>
        </w:tc>
      </w:tr>
      <w:tr>
        <w:tc>
          <w:tcPr>
            <w:tcW w:type="dxa" w:w="4320"/>
          </w:tcPr>
          <w:p>
            <w:r>
              <w:t>specs\SPEC-04-facebook-ads-ai-studio.md</w:t>
            </w:r>
          </w:p>
        </w:tc>
        <w:tc>
          <w:tcPr>
            <w:tcW w:type="dxa" w:w="4320"/>
          </w:tcPr>
          <w:p>
            <w:r>
              <w:t>41,307</w:t>
            </w:r>
          </w:p>
        </w:tc>
      </w:tr>
      <w:tr>
        <w:tc>
          <w:tcPr>
            <w:tcW w:type="dxa" w:w="4320"/>
          </w:tcPr>
          <w:p>
            <w:r>
              <w:t>specs\SPEC-05-ghl-ai-studio-seo.md</w:t>
            </w:r>
          </w:p>
        </w:tc>
        <w:tc>
          <w:tcPr>
            <w:tcW w:type="dxa" w:w="4320"/>
          </w:tcPr>
          <w:p>
            <w:r>
              <w:t>55,126</w:t>
            </w:r>
          </w:p>
        </w:tc>
      </w:tr>
      <w:tr>
        <w:tc>
          <w:tcPr>
            <w:tcW w:type="dxa" w:w="4320"/>
          </w:tcPr>
          <w:p>
            <w:r>
              <w:t>specs\SPEC-06-single-workflow.md</w:t>
            </w:r>
          </w:p>
        </w:tc>
        <w:tc>
          <w:tcPr>
            <w:tcW w:type="dxa" w:w="4320"/>
          </w:tcPr>
          <w:p>
            <w:r>
              <w:t>42,280</w:t>
            </w:r>
          </w:p>
        </w:tc>
      </w:tr>
      <w:tr>
        <w:tc>
          <w:tcPr>
            <w:tcW w:type="dxa" w:w="4320"/>
          </w:tcPr>
          <w:p>
            <w:r>
              <w:t>tools\build_recovery_report.py</w:t>
            </w:r>
          </w:p>
        </w:tc>
        <w:tc>
          <w:tcPr>
            <w:tcW w:type="dxa" w:w="4320"/>
          </w:tcPr>
          <w:p>
            <w:r>
              <w:t>7,036</w:t>
            </w:r>
          </w:p>
        </w:tc>
      </w:tr>
      <w:tr>
        <w:tc>
          <w:tcPr>
            <w:tcW w:type="dxa" w:w="4320"/>
          </w:tcPr>
          <w:p>
            <w:r>
              <w:t>tools\dbgdocx.py</w:t>
            </w:r>
          </w:p>
        </w:tc>
        <w:tc>
          <w:tcPr>
            <w:tcW w:type="dxa" w:w="4320"/>
          </w:tcPr>
          <w:p>
            <w:r>
              <w:t>714</w:t>
            </w:r>
          </w:p>
        </w:tc>
      </w:tr>
      <w:tr>
        <w:tc>
          <w:tcPr>
            <w:tcW w:type="dxa" w:w="4320"/>
          </w:tcPr>
          <w:p>
            <w:r>
              <w:t>tools\recover.py</w:t>
            </w:r>
          </w:p>
        </w:tc>
        <w:tc>
          <w:tcPr>
            <w:tcW w:type="dxa" w:w="4320"/>
          </w:tcPr>
          <w:p>
            <w:r>
              <w:t>7,445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593,496</w:t>
            </w:r>
          </w:p>
        </w:tc>
      </w:tr>
    </w:tbl>
    <w:p>
      <w:pPr>
        <w:pStyle w:val="Heading1"/>
      </w:pPr>
      <w:r>
        <w:t>5. Known consequences of the recovery</w:t>
      </w:r>
    </w:p>
    <w:p>
      <w:pPr>
        <w:pStyle w:val="ListBullet"/>
      </w:pPr>
      <w:r>
        <w:t>Inline formatting was lost. The originals used markdown **bold** and `code` markers. Word stores those as formatting runs, not characters, so the recovered specs are slightly smaller than the originals — roughly 4-9% fewer characters. All headings, tables, numbered steps, bullets and body text are intact.</w:t>
      </w:r>
    </w:p>
    <w:p>
      <w:pPr>
        <w:pStyle w:val="ListBullet"/>
      </w:pPr>
      <w:r>
        <w:t>Source-metadata drift. Re-extracting the playbooks changed their byte sizes slightly (a stray heading artefact was cleaned up), so any spec that records a source file size or hash now refers to a marginally different file. The specs say so explicitly where they measured it.</w:t>
      </w:r>
    </w:p>
    <w:p>
      <w:pPr>
        <w:pStyle w:val="ListBullet"/>
      </w:pPr>
      <w:r>
        <w:t>Nothing was invented to fill gaps. Where a value could not be verified during recovery it is marked NEEDS_EVIDENCE rather than guessed.</w:t>
      </w:r>
    </w:p>
    <w:p>
      <w:pPr>
        <w:pStyle w:val="Heading1"/>
      </w:pPr>
      <w:r>
        <w:t>6. How to rebuild either side from scratch</w:t>
      </w:r>
    </w:p>
    <w:p>
      <w:r>
        <w:t>From inside the caj-growth-system folder:</w:t>
      </w:r>
    </w:p>
    <w:p>
      <w:r>
        <w:rPr>
          <w:rFonts w:ascii="Consolas" w:hAnsi="Consolas"/>
        </w:rPr>
        <w:t>python tools/recover.py</w:t>
      </w:r>
    </w:p>
    <w:p>
      <w:r>
        <w:t>This refills specs/ from the Word document and playbooks/ from the original .docx files. Stdlib plus python-docx. Safe to re-run.</w:t>
      </w:r>
    </w:p>
    <w:p>
      <w:pPr>
        <w:pStyle w:val="Heading1"/>
      </w:pPr>
      <w:r>
        <w:t>7. Standing state</w:t>
      </w:r>
    </w:p>
    <w:p>
      <w:pPr>
        <w:pStyle w:val="ListBullet"/>
      </w:pPr>
      <w:r>
        <w:t>The package is ready to hand to Claude Code. Claude Code v2.1.258 is installed and authenticated on this machine.</w:t>
      </w:r>
    </w:p>
    <w:p>
      <w:pPr>
        <w:pStyle w:val="ListBullet"/>
      </w:pPr>
      <w:r>
        <w:t>Point Claude Code at the FOLDER (or the specs/*.md files) — never at the .docx. It cannot reliably read Word files; that is why markdown is used.</w:t>
      </w:r>
    </w:p>
    <w:p>
      <w:pPr>
        <w:pStyle w:val="ListBullet"/>
      </w:pPr>
      <w:r>
        <w:t>Guardrails remain in force: no charges or purchases of any kind; dry-run only; the live Meta campaign CAJ_HVAC27_US_PURCHASE_TEST02 is frozen; Stripe is connected to that ad account so ad spend is real money.</w:t>
      </w:r>
    </w:p>
    <w:p>
      <w:pPr>
        <w:pStyle w:val="ListBullet"/>
      </w:pPr>
      <w:r>
        <w:t>Email sending is still blocked upstream (Postmark in Test mode; AI Mailer has no authenticated sending domain). SMS needs A2P 10DLC approval.</w:t>
      </w:r>
    </w:p>
    <w:p>
      <w:pPr>
        <w:pStyle w:val="ListBullet"/>
      </w:pPr>
      <w:r>
        <w:t>No charges were made. No GHL object was created. No campaign was touched. No email was 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