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0B0D10"/>
  <w:body>
    <w:p>
      <w:pPr>
        <w:shd w:val="clear" w:color="auto" w:fill="0B0D10"/>
        <w:jc w:val="center"/>
      </w:pPr>
      <w:r>
        <w:drawing>
          <wp:inline xmlns:a="http://schemas.openxmlformats.org/drawingml/2006/main" xmlns:pic="http://schemas.openxmlformats.org/drawingml/2006/picture">
            <wp:extent cx="6217920" cy="34975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_her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7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hd w:val="clear" w:color="auto" w:fill="0B0D10"/>
        <w:jc w:val="center"/>
      </w:pPr>
      <w:r>
        <w:rPr>
          <w:b/>
          <w:color w:val="F2F4F7"/>
          <w:sz w:val="48"/>
        </w:rPr>
        <w:t>Kelyra Production System,</w:t>
        <w:br/>
        <w:t>Monetization &amp; Go-to-Market</w:t>
      </w:r>
    </w:p>
    <w:p>
      <w:pPr>
        <w:shd w:val="clear" w:color="auto" w:fill="0B0D10"/>
      </w:pPr>
      <w:r>
        <w:rPr>
          <w:rFonts w:ascii="Calibri" w:hAnsi="Calibri"/>
          <w:color w:val="F2F4F7"/>
          <w:sz w:val="20"/>
        </w:rPr>
        <w:t>Spring Baptist Academy trial → paid production</w:t>
      </w:r>
    </w:p>
    <w:p>
      <w:pPr>
        <w:shd w:val="clear" w:color="auto" w:fill="0B0D10"/>
      </w:pPr>
      <w:r>
        <w:rPr>
          <w:rFonts w:ascii="Calibri" w:hAnsi="Calibri"/>
          <w:color w:val="F2F4F7"/>
          <w:sz w:val="20"/>
        </w:rPr>
        <w:t>Edition: Dark visual edition · 2026-09-24</w:t>
      </w:r>
    </w:p>
    <w:p>
      <w:pPr>
        <w:shd w:val="clear" w:color="auto" w:fill="0B0D10"/>
        <w:jc w:val="center"/>
      </w:pPr>
      <w:r>
        <w:rPr>
          <w:b/>
          <w:color w:val="FBBF24"/>
          <w:sz w:val="22"/>
        </w:rPr>
        <w:t>Confidential — Chuck Broaddus / Kelyra</w:t>
      </w:r>
    </w:p>
    <w:p>
      <w:pPr>
        <w:shd w:val="clear" w:color="auto" w:fill="0B0D10"/>
        <w:jc w:val="center"/>
      </w:pPr>
      <w:r>
        <w:drawing>
          <wp:inline xmlns:a="http://schemas.openxmlformats.org/drawingml/2006/main" xmlns:pic="http://schemas.openxmlformats.org/drawingml/2006/picture">
            <wp:extent cx="5486400" cy="914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ck_badg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hd w:val="clear" w:color="auto" w:fill="0B0D10"/>
        <w:jc w:val="center"/>
      </w:pPr>
      <w:r>
        <w:rPr>
          <w:i/>
          <w:color w:val="9CA3AF"/>
          <w:sz w:val="16"/>
        </w:rPr>
        <w:t>Recommended stack wordmarks (styled pills).</w:t>
      </w:r>
    </w:p>
    <w:p>
      <w:pPr>
        <w:shd w:val="clear" w:color="auto" w:fill="0B0D10"/>
      </w:pPr>
      <w:r>
        <w:rPr>
          <w:rFonts w:ascii="Calibri" w:hAnsi="Calibri"/>
          <w:b/>
          <w:color w:val="3DDCFF"/>
          <w:sz w:val="36"/>
        </w:rPr>
        <w:t>1. Executive summary</w:t>
      </w:r>
    </w:p>
    <w:p>
      <w:pPr>
        <w:shd w:val="clear" w:color="auto" w:fill="0B0D10"/>
      </w:pPr>
      <w:r>
        <w:rPr>
          <w:rFonts w:ascii="Calibri" w:hAnsi="Calibri"/>
          <w:color w:val="F2F4F7"/>
          <w:sz w:val="20"/>
        </w:rPr>
        <w:t>Kelyra is already a real multi-role school app (Expo + Supabase + Gemini Edge Functions + Ride/LPR), not a slide deck. The gap to a Spring Baptist trial is ops and distribution, not a rewrite.</w:t>
      </w:r>
    </w:p>
    <w:p>
      <w:pPr>
        <w:shd w:val="clear" w:color="auto" w:fill="0B0D10"/>
      </w:pPr>
      <w:r>
        <w:rPr>
          <w:rFonts w:ascii="Calibri" w:hAnsi="Calibri"/>
          <w:b/>
          <w:color w:val="5EEAD4"/>
          <w:sz w:val="28"/>
        </w:rPr>
        <w:t>Cost snapshot</w:t>
      </w:r>
    </w:p>
    <w:p>
      <w:pPr>
        <w:shd w:val="clear" w:color="auto" w:fill="0B0D10"/>
        <w:jc w:val="center"/>
      </w:pPr>
      <w:r>
        <w:drawing>
          <wp:inline xmlns:a="http://schemas.openxmlformats.org/drawingml/2006/main" xmlns:pic="http://schemas.openxmlformats.org/drawingml/2006/picture">
            <wp:extent cx="5943600" cy="324435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st_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43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hd w:val="clear" w:color="auto" w:fill="0B0D10"/>
        <w:jc w:val="center"/>
      </w:pPr>
      <w:r>
        <w:rPr>
          <w:i/>
          <w:color w:val="9CA3AF"/>
          <w:sz w:val="16"/>
        </w:rPr>
        <w:t>Est. monthly platform cost — Trial $55–110 · Full school $90–220 · ~10 schools $400–1,200.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color="auto" w:fill="1A2332"/>
          </w:tcPr>
          <w:p>
            <w:r>
              <w:rPr>
                <w:b/>
                <w:color w:val="3DDCFF"/>
                <w:sz w:val="16"/>
              </w:rPr>
              <w:t>Scale</w:t>
            </w:r>
          </w:p>
        </w:tc>
        <w:tc>
          <w:tcPr>
            <w:tcW w:type="dxa" w:w="5112"/>
            <w:shd w:val="clear" w:color="auto" w:fill="1A2332"/>
          </w:tcPr>
          <w:p>
            <w:r>
              <w:rPr>
                <w:b/>
                <w:color w:val="3DDCFF"/>
                <w:sz w:val="16"/>
              </w:rPr>
              <w:t>Est. monthly platform cost</w:t>
            </w:r>
          </w:p>
        </w:tc>
      </w:tr>
      <w:tr>
        <w:tc>
          <w:tcPr>
            <w:tcW w:type="dxa" w:w="5112"/>
            <w:shd w:val="clear" w:color="auto" w:fill="161A22"/>
          </w:tcPr>
          <w:p>
            <w:r>
              <w:rPr>
                <w:color w:val="F2F4F7"/>
                <w:sz w:val="16"/>
              </w:rPr>
              <w:t>Trial (~35 students)</w:t>
            </w:r>
          </w:p>
        </w:tc>
        <w:tc>
          <w:tcPr>
            <w:tcW w:type="dxa" w:w="5112"/>
            <w:shd w:val="clear" w:color="auto" w:fill="161A22"/>
          </w:tcPr>
          <w:p>
            <w:r>
              <w:rPr>
                <w:color w:val="F2F4F7"/>
                <w:sz w:val="16"/>
              </w:rPr>
              <w:t>~$55–110 / mo</w:t>
            </w:r>
          </w:p>
        </w:tc>
      </w:tr>
      <w:tr>
        <w:tc>
          <w:tcPr>
            <w:tcW w:type="dxa" w:w="5112"/>
            <w:shd w:val="clear" w:color="auto" w:fill="161A22"/>
          </w:tcPr>
          <w:p>
            <w:r>
              <w:rPr>
                <w:color w:val="F2F4F7"/>
                <w:sz w:val="16"/>
              </w:rPr>
              <w:t>Full Spring Baptist (~200)</w:t>
            </w:r>
          </w:p>
        </w:tc>
        <w:tc>
          <w:tcPr>
            <w:tcW w:type="dxa" w:w="5112"/>
            <w:shd w:val="clear" w:color="auto" w:fill="161A22"/>
          </w:tcPr>
          <w:p>
            <w:r>
              <w:rPr>
                <w:color w:val="F2F4F7"/>
                <w:sz w:val="16"/>
              </w:rPr>
              <w:t>~$90–220 / mo</w:t>
            </w:r>
          </w:p>
        </w:tc>
      </w:tr>
      <w:tr>
        <w:tc>
          <w:tcPr>
            <w:tcW w:type="dxa" w:w="5112"/>
            <w:shd w:val="clear" w:color="auto" w:fill="161A22"/>
          </w:tcPr>
          <w:p>
            <w:r>
              <w:rPr>
                <w:color w:val="F2F4F7"/>
                <w:sz w:val="16"/>
              </w:rPr>
              <w:t>~10 similar schools</w:t>
            </w:r>
          </w:p>
        </w:tc>
        <w:tc>
          <w:tcPr>
            <w:tcW w:type="dxa" w:w="5112"/>
            <w:shd w:val="clear" w:color="auto" w:fill="161A22"/>
          </w:tcPr>
          <w:p>
            <w:r>
              <w:rPr>
                <w:color w:val="F2F4F7"/>
                <w:sz w:val="16"/>
              </w:rPr>
              <w:t>~$400–1,200 / mo</w:t>
            </w:r>
          </w:p>
        </w:tc>
      </w:tr>
    </w:tbl>
    <w:p>
      <w:pPr>
        <w:shd w:val="clear" w:color="auto" w:fill="0B0D10"/>
      </w:pPr>
      <w:r>
        <w:rPr>
          <w:rFonts w:ascii="Calibri" w:hAnsi="Calibri"/>
          <w:b/>
          <w:color w:val="5EEAD4"/>
          <w:sz w:val="28"/>
        </w:rPr>
        <w:t>Recommended pricing</w:t>
      </w:r>
    </w:p>
    <w:p>
      <w:pPr>
        <w:shd w:val="clear" w:color="auto" w:fill="0B0D10"/>
        <w:jc w:val="center"/>
      </w:pPr>
      <w:r>
        <w:drawing>
          <wp:inline xmlns:a="http://schemas.openxmlformats.org/drawingml/2006/main" xmlns:pic="http://schemas.openxmlformats.org/drawingml/2006/picture">
            <wp:extent cx="5943600" cy="305670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cing_wed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67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hd w:val="clear" w:color="auto" w:fill="0B0D10"/>
        <w:jc w:val="center"/>
      </w:pPr>
      <w:r>
        <w:rPr>
          <w:i/>
          <w:color w:val="9CA3AF"/>
          <w:sz w:val="16"/>
        </w:rPr>
        <w:t>Ride $1,800 · Classroom $3,500 · Bundle $4,500 (or $8/student/yr).</w:t>
      </w:r>
    </w:p>
    <w:p>
      <w:pPr>
        <w:shd w:val="clear" w:color="auto" w:fill="0B0D10"/>
      </w:pPr>
      <w:r>
        <w:rPr>
          <w:rFonts w:ascii="Calibri" w:hAnsi="Calibri"/>
          <w:color w:val="F2F4F7"/>
          <w:sz w:val="20"/>
        </w:rPr>
        <w:t>Ride module (wedge): $1,800 / school / year for ≤250 students.</w:t>
      </w:r>
    </w:p>
    <w:p>
      <w:pPr>
        <w:shd w:val="clear" w:color="auto" w:fill="0B0D10"/>
      </w:pPr>
      <w:r>
        <w:rPr>
          <w:rFonts w:ascii="Calibri" w:hAnsi="Calibri"/>
          <w:color w:val="F2F4F7"/>
          <w:sz w:val="20"/>
        </w:rPr>
        <w:t>Kelyra School (full suite): $4,500 / school / year or $8 / student / year (whichever greater).</w:t>
      </w:r>
    </w:p>
    <w:p>
      <w:pPr>
        <w:shd w:val="clear" w:color="auto" w:fill="0B0D10"/>
      </w:pPr>
      <w:r>
        <w:rPr>
          <w:rFonts w:ascii="Calibri" w:hAnsi="Calibri"/>
          <w:color w:val="F2F4F7"/>
          <w:sz w:val="20"/>
        </w:rPr>
        <w:t>Spring Baptist trial: free through end of spring semester; founding renewal at 50% of list for year 1 paid.</w:t>
      </w:r>
    </w:p>
    <w:p>
      <w:pPr>
        <w:shd w:val="clear" w:color="auto" w:fill="0B0D10"/>
      </w:pPr>
      <w:r>
        <w:rPr>
          <w:rFonts w:ascii="Calibri" w:hAnsi="Calibri"/>
          <w:b/>
          <w:color w:val="5EEAD4"/>
          <w:sz w:val="28"/>
        </w:rPr>
        <w:t>Top risks</w:t>
      </w:r>
    </w:p>
    <w:p>
      <w:pPr>
        <w:shd w:val="clear" w:color="auto" w:fill="0B0D10"/>
        <w:jc w:val="center"/>
      </w:pPr>
      <w:r>
        <w:drawing>
          <wp:inline xmlns:a="http://schemas.openxmlformats.org/drawingml/2006/main" xmlns:pic="http://schemas.openxmlformats.org/drawingml/2006/picture">
            <wp:extent cx="4114800" cy="416776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sk_rada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677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hd w:val="clear" w:color="auto" w:fill="0B0D10"/>
        <w:jc w:val="center"/>
      </w:pPr>
      <w:r>
        <w:rPr>
          <w:i/>
          <w:color w:val="9CA3AF"/>
          <w:sz w:val="16"/>
        </w:rPr>
        <w:t>Relative severity of top production risks.</w:t>
      </w:r>
    </w:p>
    <w:p>
      <w:pPr>
        <w:shd w:val="clear" w:color="auto" w:fill="0B0D10"/>
      </w:pPr>
      <w:r>
        <w:rPr>
          <w:rFonts w:ascii="Calibri" w:hAnsi="Calibri"/>
          <w:color w:val="F2F4F7"/>
          <w:sz w:val="20"/>
        </w:rPr>
        <w:t>• Solo-founder on-call during dismissal window (3:00–4:00 PM CT) if Realtime/LPR fails.</w:t>
      </w:r>
    </w:p>
    <w:p>
      <w:pPr>
        <w:shd w:val="clear" w:color="auto" w:fill="0B0D10"/>
      </w:pPr>
      <w:r>
        <w:rPr>
          <w:rFonts w:ascii="Calibri" w:hAnsi="Calibri"/>
          <w:color w:val="F2F4F7"/>
          <w:sz w:val="20"/>
        </w:rPr>
        <w:t>• Claiming FERPA “school official” without a DPA.</w:t>
      </w:r>
    </w:p>
    <w:p>
      <w:pPr>
        <w:shd w:val="clear" w:color="auto" w:fill="0B0D10"/>
      </w:pPr>
      <w:r>
        <w:rPr>
          <w:rFonts w:ascii="Calibri" w:hAnsi="Calibri"/>
          <w:color w:val="F2F4F7"/>
          <w:sz w:val="20"/>
        </w:rPr>
        <w:t>• Storage egress already burned Free plan in Aug 2026.</w:t>
      </w:r>
    </w:p>
    <w:p>
      <w:pPr>
        <w:shd w:val="clear" w:color="auto" w:fill="0B0D10"/>
      </w:pPr>
      <w:r>
        <w:rPr>
          <w:rFonts w:ascii="Calibri" w:hAnsi="Calibri"/>
          <w:color w:val="F2F4F7"/>
          <w:sz w:val="20"/>
        </w:rPr>
        <w:t>• Missing store identifiers / no CI promotion path.</w:t>
      </w:r>
    </w:p>
    <w:p>
      <w:pPr>
        <w:shd w:val="clear" w:color="auto" w:fill="0B0D10"/>
      </w:pPr>
      <w:r>
        <w:rPr>
          <w:rFonts w:ascii="Calibri" w:hAnsi="Calibri"/>
          <w:color w:val="F2F4F7"/>
          <w:sz w:val="20"/>
        </w:rPr>
        <w:t>• Car-line LPR accuracy + parent plate registration friction.</w:t>
      </w:r>
    </w:p>
    <w:p>
      <w:pPr>
        <w:shd w:val="clear" w:color="auto" w:fill="0B0D10"/>
      </w:pPr>
      <w:r>
        <w:rPr>
          <w:rFonts w:ascii="Calibri" w:hAnsi="Calibri"/>
          <w:b/>
          <w:color w:val="3DDCFF"/>
          <w:sz w:val="36"/>
        </w:rPr>
        <w:t>3. Recommended production architecture</w:t>
      </w:r>
    </w:p>
    <w:p>
      <w:pPr>
        <w:shd w:val="clear" w:color="auto" w:fill="0B0D10"/>
        <w:jc w:val="center"/>
      </w:pPr>
      <w:r>
        <w:drawing>
          <wp:inline xmlns:a="http://schemas.openxmlformats.org/drawingml/2006/main" xmlns:pic="http://schemas.openxmlformats.org/drawingml/2006/picture">
            <wp:extent cx="5943600" cy="393014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0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hd w:val="clear" w:color="auto" w:fill="0B0D10"/>
        <w:jc w:val="center"/>
      </w:pPr>
      <w:r>
        <w:rPr>
          <w:i/>
          <w:color w:val="9CA3AF"/>
          <w:sz w:val="16"/>
        </w:rPr>
        <w:t>Parents/Teachers/Office/Students → Expo → Supabase → Gemini / Ride / Worker / Pages.</w:t>
      </w:r>
    </w:p>
    <w:p>
      <w:pPr>
        <w:shd w:val="clear" w:color="auto" w:fill="0B0D10"/>
      </w:pPr>
      <w:r>
        <w:rPr>
          <w:rFonts w:ascii="Calibri" w:hAnsi="Calibri"/>
          <w:color w:val="F2F4F7"/>
          <w:sz w:val="20"/>
        </w:rPr>
        <w:t>Keep: Expo+Supabase+Edge AI adapter+RLS+Approve gate+private buckets+Ride design.</w:t>
      </w:r>
    </w:p>
    <w:p>
      <w:pPr>
        <w:shd w:val="clear" w:color="auto" w:fill="0B0D10"/>
      </w:pPr>
      <w:r>
        <w:rPr>
          <w:rFonts w:ascii="Calibri" w:hAnsi="Calibri"/>
          <w:color w:val="F2F4F7"/>
          <w:sz w:val="20"/>
        </w:rPr>
        <w:t>Change/add: staging; Cloudflare Pages; production worker; Sentry; paid Gemini; Resend; CI promote.</w:t>
      </w:r>
    </w:p>
    <w:p>
      <w:pPr>
        <w:shd w:val="clear" w:color="auto" w:fill="0B0D10"/>
      </w:pPr>
      <w:r>
        <w:rPr>
          <w:rFonts w:ascii="Calibri" w:hAnsi="Calibri"/>
          <w:color w:val="F2F4F7"/>
          <w:sz w:val="20"/>
        </w:rPr>
        <w:t>Do not: rewrite to Next.js for trial; public buckets; free-tier Gemini in prod; claim HIPAA/FERPA school-official on Pro alone.</w:t>
      </w:r>
    </w:p>
    <w:p>
      <w:pPr>
        <w:shd w:val="clear" w:color="auto" w:fill="0B0D10"/>
      </w:pPr>
      <w:r>
        <w:rPr>
          <w:rFonts w:ascii="Calibri" w:hAnsi="Calibri"/>
          <w:b/>
          <w:color w:val="3DDCFF"/>
          <w:sz w:val="36"/>
        </w:rPr>
        <w:t>5. Deployment per platform</w:t>
      </w:r>
    </w:p>
    <w:p>
      <w:pPr>
        <w:shd w:val="clear" w:color="auto" w:fill="0B0D10"/>
        <w:jc w:val="center"/>
      </w:pPr>
      <w:r>
        <w:drawing>
          <wp:inline xmlns:a="http://schemas.openxmlformats.org/drawingml/2006/main" xmlns:pic="http://schemas.openxmlformats.org/drawingml/2006/picture">
            <wp:extent cx="5943600" cy="17830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tform_matrix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3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hd w:val="clear" w:color="auto" w:fill="0B0D10"/>
        <w:jc w:val="center"/>
      </w:pPr>
      <w:r>
        <w:rPr>
          <w:i/>
          <w:color w:val="9CA3AF"/>
          <w:sz w:val="16"/>
        </w:rPr>
        <w:t>iOS TestFlight · Android Play Closed · Chromebook PWA · Mac/PC web.</w:t>
      </w:r>
    </w:p>
    <w:p>
      <w:pPr>
        <w:shd w:val="clear" w:color="auto" w:fill="0B0D10"/>
      </w:pPr>
      <w:r>
        <w:rPr>
          <w:rFonts w:ascii="Calibri" w:hAnsi="Calibri"/>
          <w:b/>
          <w:color w:val="3DDCFF"/>
          <w:sz w:val="36"/>
        </w:rPr>
        <w:t>8. Monetization recommendation</w:t>
      </w:r>
    </w:p>
    <w:p>
      <w:pPr>
        <w:shd w:val="clear" w:color="auto" w:fill="0B0D10"/>
      </w:pPr>
      <w:r>
        <w:rPr>
          <w:rFonts w:ascii="Calibri" w:hAnsi="Calibri"/>
          <w:color w:val="F2F4F7"/>
          <w:sz w:val="20"/>
        </w:rPr>
        <w:t>1. Kelyra Ride — $1,800/yr (≤250 students); +$6/student above 250.</w:t>
      </w:r>
    </w:p>
    <w:p>
      <w:pPr>
        <w:shd w:val="clear" w:color="auto" w:fill="0B0D10"/>
      </w:pPr>
      <w:r>
        <w:rPr>
          <w:rFonts w:ascii="Calibri" w:hAnsi="Calibri"/>
          <w:color w:val="F2F4F7"/>
          <w:sz w:val="20"/>
        </w:rPr>
        <w:t>2. Kelyra Classroom — $3,500/yr or $8/student/yr.</w:t>
      </w:r>
    </w:p>
    <w:p>
      <w:pPr>
        <w:shd w:val="clear" w:color="auto" w:fill="0B0D10"/>
      </w:pPr>
      <w:r>
        <w:rPr>
          <w:rFonts w:ascii="Calibri" w:hAnsi="Calibri"/>
          <w:color w:val="F2F4F7"/>
          <w:sz w:val="20"/>
        </w:rPr>
        <w:t>3. Bundle School — $4,500/yr (≤250) = Ride + Classroom; founding discount available.</w:t>
      </w:r>
    </w:p>
    <w:p>
      <w:pPr>
        <w:shd w:val="clear" w:color="auto" w:fill="0B0D10"/>
      </w:pPr>
      <w:r>
        <w:rPr>
          <w:rFonts w:ascii="Calibri" w:hAnsi="Calibri"/>
          <w:color w:val="F2F4F7"/>
          <w:sz w:val="20"/>
        </w:rPr>
        <w:t>4. AI credits soft cap; overage $10 / 1k jobs.</w:t>
      </w:r>
    </w:p>
    <w:p>
      <w:pPr>
        <w:shd w:val="clear" w:color="auto" w:fill="0B0D10"/>
      </w:pPr>
      <w:r>
        <w:rPr>
          <w:rFonts w:ascii="Calibri" w:hAnsi="Calibri"/>
          <w:color w:val="F2F4F7"/>
          <w:sz w:val="20"/>
        </w:rPr>
        <w:t>5. Author packs free for trial; marketplace later.</w:t>
      </w:r>
    </w:p>
    <w:p>
      <w:pPr>
        <w:shd w:val="clear" w:color="auto" w:fill="0B0D10"/>
      </w:pPr>
      <w:r>
        <w:rPr>
          <w:rFonts w:ascii="Calibri" w:hAnsi="Calibri"/>
          <w:b/>
          <w:color w:val="3DDCFF"/>
          <w:sz w:val="36"/>
        </w:rPr>
        <w:t>10. 90-day GTM</w:t>
      </w:r>
    </w:p>
    <w:p>
      <w:pPr>
        <w:shd w:val="clear" w:color="auto" w:fill="0B0D10"/>
        <w:jc w:val="center"/>
      </w:pPr>
      <w:r>
        <w:drawing>
          <wp:inline xmlns:a="http://schemas.openxmlformats.org/drawingml/2006/main" xmlns:pic="http://schemas.openxmlformats.org/drawingml/2006/picture">
            <wp:extent cx="5943600" cy="221894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tm_timelin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89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hd w:val="clear" w:color="auto" w:fill="0B0D10"/>
        <w:jc w:val="center"/>
      </w:pPr>
      <w:r>
        <w:rPr>
          <w:i/>
          <w:color w:val="9CA3AF"/>
          <w:sz w:val="16"/>
        </w:rPr>
        <w:t>Days 1–30 / 31–60 / 61–90 GTM phases.</w:t>
      </w:r>
    </w:p>
    <w:p>
      <w:pPr>
        <w:shd w:val="clear" w:color="auto" w:fill="0B0D10"/>
      </w:pPr>
      <w:r>
        <w:rPr>
          <w:rFonts w:ascii="Calibri" w:hAnsi="Calibri"/>
          <w:color w:val="F2F4F7"/>
          <w:sz w:val="20"/>
        </w:rPr>
        <w:t>Days 1–30: finish prod stack; pilot MOU; Ride go-live; weekly office huddle.</w:t>
      </w:r>
    </w:p>
    <w:p>
      <w:pPr>
        <w:shd w:val="clear" w:color="auto" w:fill="0B0D10"/>
      </w:pPr>
      <w:r>
        <w:rPr>
          <w:rFonts w:ascii="Calibri" w:hAnsi="Calibri"/>
          <w:color w:val="F2F4F7"/>
          <w:sz w:val="20"/>
        </w:rPr>
        <w:t>Days 31–60: teacher Classroom cohorts; case study; demo video; marketing page.</w:t>
      </w:r>
    </w:p>
    <w:p>
      <w:pPr>
        <w:shd w:val="clear" w:color="auto" w:fill="0B0D10"/>
      </w:pPr>
      <w:r>
        <w:rPr>
          <w:rFonts w:ascii="Calibri" w:hAnsi="Calibri"/>
          <w:color w:val="F2F4F7"/>
          <w:sz w:val="20"/>
        </w:rPr>
        <w:t>Days 61–90: outreach to 20 Houston-area Christian schools; TEPSAC/ACSI; LinkedIn; trademark search.</w:t>
      </w:r>
    </w:p>
    <w:p>
      <w:pPr>
        <w:shd w:val="clear" w:color="auto" w:fill="0B0D10"/>
      </w:pPr>
      <w:r>
        <w:rPr>
          <w:rFonts w:ascii="Calibri" w:hAnsi="Calibri"/>
          <w:b/>
          <w:color w:val="3DDCFF"/>
          <w:sz w:val="36"/>
        </w:rPr>
        <w:t>12. Automating with Kelyra Company OS</w:t>
      </w:r>
    </w:p>
    <w:p>
      <w:pPr>
        <w:shd w:val="clear" w:color="auto" w:fill="0B0D1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9634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ny_os_ma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6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hd w:val="clear" w:color="auto" w:fill="0B0D10"/>
        <w:jc w:val="center"/>
      </w:pPr>
      <w:r>
        <w:rPr>
          <w:i/>
          <w:color w:val="9CA3AF"/>
          <w:sz w:val="16"/>
        </w:rPr>
        <w:t>Recurring jobs mapped to Company OS profiles / agents.</w:t>
      </w:r>
    </w:p>
    <w:p>
      <w:pPr>
        <w:shd w:val="clear" w:color="auto" w:fill="0B0D10"/>
      </w:pPr>
      <w:r>
        <w:rPr>
          <w:rFonts w:ascii="Calibri" w:hAnsi="Calibri"/>
          <w:b/>
          <w:color w:val="3DDCFF"/>
          <w:sz w:val="36"/>
        </w:rPr>
        <w:t>13. Open questions</w:t>
      </w:r>
    </w:p>
    <w:p>
      <w:pPr>
        <w:shd w:val="clear" w:color="auto" w:fill="0B0D10"/>
      </w:pPr>
      <w:r>
        <w:rPr>
          <w:rFonts w:ascii="Calibri" w:hAnsi="Calibri"/>
          <w:color w:val="F2F4F7"/>
          <w:sz w:val="20"/>
        </w:rPr>
        <w:t>1. Trial start date and whether Ride-only week 1 or Ride+Classroom together?</w:t>
      </w:r>
    </w:p>
    <w:p>
      <w:pPr>
        <w:shd w:val="clear" w:color="auto" w:fill="0B0D10"/>
      </w:pPr>
      <w:r>
        <w:rPr>
          <w:rFonts w:ascii="Calibri" w:hAnsi="Calibri"/>
          <w:color w:val="F2F4F7"/>
          <w:sz w:val="20"/>
        </w:rPr>
        <w:t>2. School consent for under-13 accounts, or parent-only student access?</w:t>
      </w:r>
    </w:p>
    <w:p>
      <w:pPr>
        <w:shd w:val="clear" w:color="auto" w:fill="0B0D10"/>
      </w:pPr>
      <w:r>
        <w:rPr>
          <w:rFonts w:ascii="Calibri" w:hAnsi="Calibri"/>
          <w:color w:val="F2F4F7"/>
          <w:sz w:val="20"/>
        </w:rPr>
        <w:t>3. Retention period for Ride walk photos / LPR crops?</w:t>
      </w:r>
    </w:p>
    <w:p>
      <w:pPr>
        <w:shd w:val="clear" w:color="auto" w:fill="0B0D10"/>
      </w:pPr>
      <w:r>
        <w:rPr>
          <w:rFonts w:ascii="Calibri" w:hAnsi="Calibri"/>
          <w:color w:val="F2F4F7"/>
          <w:sz w:val="20"/>
        </w:rPr>
        <w:t>4. Devices: office Chromebooks only, or staff phones for walk photo?</w:t>
      </w:r>
    </w:p>
    <w:p>
      <w:pPr>
        <w:shd w:val="clear" w:color="auto" w:fill="0B0D10"/>
      </w:pPr>
      <w:r>
        <w:rPr>
          <w:rFonts w:ascii="Calibri" w:hAnsi="Calibri"/>
          <w:color w:val="F2F4F7"/>
          <w:sz w:val="20"/>
        </w:rPr>
        <w:t>5. Any existing dismissal vendor contract to replace?</w:t>
      </w:r>
    </w:p>
    <w:p>
      <w:pPr>
        <w:shd w:val="clear" w:color="auto" w:fill="0B0D10"/>
      </w:pPr>
      <w:r>
        <w:rPr>
          <w:rFonts w:ascii="Calibri" w:hAnsi="Calibri"/>
          <w:color w:val="F2F4F7"/>
          <w:sz w:val="20"/>
        </w:rPr>
        <w:t>6. Is the school FERPA-bound (federal funds)?</w:t>
      </w:r>
    </w:p>
    <w:p>
      <w:pPr>
        <w:shd w:val="clear" w:color="auto" w:fill="0B0D10"/>
      </w:pPr>
      <w:r>
        <w:rPr>
          <w:rFonts w:ascii="Calibri" w:hAnsi="Calibri"/>
          <w:color w:val="F2F4F7"/>
          <w:sz w:val="20"/>
        </w:rPr>
        <w:t>7. Preferred invoice entity name / who signs MOU?</w:t>
      </w:r>
    </w:p>
    <w:p>
      <w:pPr>
        <w:shd w:val="clear" w:color="auto" w:fill="0B0D10"/>
      </w:pPr>
      <w:r>
        <w:rPr>
          <w:rFonts w:ascii="Calibri" w:hAnsi="Calibri"/>
          <w:color w:val="F2F4F7"/>
          <w:sz w:val="20"/>
        </w:rPr>
        <w:t>8. OK to use anonymized timing data publicly in a case study?</w:t>
      </w:r>
    </w:p>
    <w:p>
      <w:pPr>
        <w:shd w:val="clear" w:color="auto" w:fill="0B0D10"/>
      </w:pPr>
      <w:r>
        <w:rPr>
          <w:rFonts w:ascii="Calibri" w:hAnsi="Calibri"/>
          <w:color w:val="F2F4F7"/>
          <w:sz w:val="20"/>
        </w:rPr>
        <w:t>9. Promote current Supabase project to prod, or fresh prod + migrate?</w:t>
      </w:r>
    </w:p>
    <w:p>
      <w:pPr>
        <w:shd w:val="clear" w:color="auto" w:fill="0B0D10"/>
      </w:pPr>
      <w:r>
        <w:rPr>
          <w:rFonts w:ascii="Calibri" w:hAnsi="Calibri"/>
          <w:color w:val="F2F4F7"/>
          <w:sz w:val="20"/>
        </w:rPr>
        <w:t>10. SMS for car-line exceptions (Twilio) — yes/no for v1?</w:t>
      </w:r>
    </w:p>
    <w:p>
      <w:pPr>
        <w:shd w:val="clear" w:color="auto" w:fill="0B0D10"/>
      </w:pPr>
      <w:r>
        <w:rPr>
          <w:rFonts w:ascii="Calibri" w:hAnsi="Calibri"/>
          <w:b/>
          <w:color w:val="3DDCFF"/>
          <w:sz w:val="36"/>
        </w:rPr>
        <w:t>Appendix A — Sources</w:t>
      </w:r>
    </w:p>
    <w:p>
      <w:pPr>
        <w:shd w:val="clear" w:color="auto" w:fill="0B0D10"/>
      </w:pPr>
      <w:r>
        <w:rPr>
          <w:rFonts w:ascii="Calibri" w:hAnsi="Calibri"/>
          <w:color w:val="F2F4F7"/>
          <w:sz w:val="20"/>
        </w:rPr>
        <w:t>See full markdown for complete source list (Supabase, Gemini, Expo, Cloudflare, Sentry, NCES, etc.). Access ~2026-09-23/24 CT.</w:t>
      </w:r>
    </w:p>
    <w:p>
      <w:pPr>
        <w:shd w:val="clear" w:color="auto" w:fill="0B0D10"/>
      </w:pPr>
      <w:r>
        <w:rPr>
          <w:rFonts w:ascii="Calibri" w:hAnsi="Calibri"/>
          <w:color w:val="F2F4F7"/>
          <w:sz w:val="20"/>
        </w:rPr>
        <w:t>Dark visual edition · 2026-09-24 · Confidential — Chuck Broaddus / Kelyra</w:t>
      </w:r>
    </w:p>
    <w:p>
      <w:pPr>
        <w:shd w:val="clear" w:color="auto" w:fill="0B0D10"/>
      </w:pPr>
      <w:r>
        <w:rPr>
          <w:rFonts w:ascii="Calibri" w:hAnsi="Calibri"/>
          <w:color w:val="F2F4F7"/>
          <w:sz w:val="20"/>
        </w:rPr>
        <w:t>Note: Word page background set via w:background (#0B0D10). Some Word/Google Docs viewers may still show white canvas; paragraph shading and dark table cells preserve the dark theme in most cases. Full prose is in the companion MD/PDF.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