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EF287" w14:textId="77777777" w:rsidR="00E81038" w:rsidRDefault="00000000">
      <w:pPr>
        <w:jc w:val="center"/>
      </w:pPr>
      <w:r>
        <w:rPr>
          <w:b/>
          <w:sz w:val="28"/>
        </w:rPr>
        <w:t>RICO Conduct Element Analysis</w:t>
      </w:r>
    </w:p>
    <w:p w14:paraId="4FBB04E0" w14:textId="77777777" w:rsidR="00E81038" w:rsidRDefault="00000000">
      <w:pPr>
        <w:pStyle w:val="Heading1"/>
      </w:pPr>
      <w:r>
        <w:t>I. Introduction</w:t>
      </w:r>
    </w:p>
    <w:p w14:paraId="54B6EB6D" w14:textId="77777777" w:rsidR="00E81038" w:rsidRDefault="00000000">
      <w:r>
        <w:t>The conduct element of RICO is satisfied here because each defendant participated...</w:t>
      </w:r>
    </w:p>
    <w:p w14:paraId="08729D93" w14:textId="77777777" w:rsidR="00E81038" w:rsidRDefault="00000000">
      <w:pPr>
        <w:pStyle w:val="Heading1"/>
      </w:pPr>
      <w:r>
        <w:t>II. Relevant Law</w:t>
      </w:r>
    </w:p>
    <w:p w14:paraId="3013D63D" w14:textId="77777777" w:rsidR="00E81038" w:rsidRDefault="00000000">
      <w:r>
        <w:t xml:space="preserve">Under 18 U.S.C. § 1962(c)... see </w:t>
      </w:r>
      <w:r>
        <w:rPr>
          <w:i/>
        </w:rPr>
        <w:t>Whelan v. Winchester Production Co.</w:t>
      </w:r>
      <w:r>
        <w:t>, 319 F.3d 225 (5th Cir. 2003).</w:t>
      </w:r>
    </w:p>
    <w:sectPr w:rsidR="00E8103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159378">
    <w:abstractNumId w:val="8"/>
  </w:num>
  <w:num w:numId="2" w16cid:durableId="2053729591">
    <w:abstractNumId w:val="6"/>
  </w:num>
  <w:num w:numId="3" w16cid:durableId="1256011075">
    <w:abstractNumId w:val="5"/>
  </w:num>
  <w:num w:numId="4" w16cid:durableId="47147418">
    <w:abstractNumId w:val="4"/>
  </w:num>
  <w:num w:numId="5" w16cid:durableId="216480740">
    <w:abstractNumId w:val="7"/>
  </w:num>
  <w:num w:numId="6" w16cid:durableId="1366104509">
    <w:abstractNumId w:val="3"/>
  </w:num>
  <w:num w:numId="7" w16cid:durableId="127817443">
    <w:abstractNumId w:val="2"/>
  </w:num>
  <w:num w:numId="8" w16cid:durableId="1050030222">
    <w:abstractNumId w:val="1"/>
  </w:num>
  <w:num w:numId="9" w16cid:durableId="199467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A7F"/>
    <w:rsid w:val="00AA1D8D"/>
    <w:rsid w:val="00B47730"/>
    <w:rsid w:val="00CB0664"/>
    <w:rsid w:val="00E81038"/>
    <w:rsid w:val="00F05F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5419C316-B21C-462D-911D-E3DACA36E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Charlies VIDS</cp:lastModifiedBy>
  <cp:revision>2</cp:revision>
  <dcterms:created xsi:type="dcterms:W3CDTF">2013-12-23T23:15:00Z</dcterms:created>
  <dcterms:modified xsi:type="dcterms:W3CDTF">2025-09-18T08:16:00Z</dcterms:modified>
  <cp:category/>
</cp:coreProperties>
</file>