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18324A"/>
          <w:sz w:val="46"/>
        </w:rPr>
        <w:t>FRX working-record structures</w:t>
      </w:r>
    </w:p>
    <w:p>
      <w:pPr>
        <w:spacing w:after="320"/>
      </w:pPr>
      <w:r>
        <w:rPr>
          <w:rFonts w:ascii="Calibri" w:hAnsi="Calibri"/>
          <w:i/>
          <w:color w:val="596772"/>
          <w:sz w:val="20"/>
        </w:rPr>
        <w:t>Editable learner workbook - type directly into this file and add rows as needed.</w:t>
      </w:r>
    </w:p>
    <w:p>
      <w:r>
        <w:rPr>
          <w:rFonts w:ascii="Calibri" w:hAnsi="Calibri"/>
        </w:rPr>
        <w:t xml:space="preserve">Use these headings within one retained </w:t>
      </w:r>
      <w:r>
        <w:rPr>
          <w:rFonts w:ascii="Calibri" w:hAnsi="Calibri"/>
          <w:b/>
        </w:rPr>
        <w:t>FRX review</w:t>
      </w:r>
      <w:r>
        <w:rPr>
          <w:rFonts w:ascii="Calibri" w:hAnsi="Calibri"/>
        </w:rPr>
        <w:t xml:space="preserve"> document. Add rows as needed; counts do not establish review sufficiency. Evidence IDs refer to the system packet. Entity E1 and evidence E1 are distinct: qualify them when writing prose.</w:t>
      </w:r>
    </w:p>
    <w:p>
      <w:pPr>
        <w:pStyle w:val="Heading1"/>
      </w:pPr>
      <w:r>
        <w:t>Scope and assets</w:t>
      </w:r>
    </w:p>
    <w:p>
      <w:r>
        <w:rPr>
          <w:rFonts w:ascii="Calibri" w:hAnsi="Calibri"/>
        </w:rPr>
        <w:t>SCOPE-1: review purpose / baseline / included people, client and operations / external dependencies / excluded implementation / evidence / date.</w:t>
      </w:r>
    </w:p>
    <w:tbl>
      <w:tblPr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2736"/>
        <w:gridCol w:w="2736"/>
        <w:gridCol w:w="2736"/>
        <w:gridCol w:w="2736"/>
      </w:tblGrid>
      <w:tr>
        <w:trPr>
          <w:tblHeader/>
        </w:trPr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Asset ID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Data or service; location/state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Owner (known/proposed)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Protection need and consequence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Evidence / uncertainty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  <w:t>A…</w:t>
            </w:r>
          </w:p>
        </w:tc>
        <w:tc>
          <w:tcPr>
            <w:tcW w:type="dxa" w:w="2736"/>
            <w:vAlign w:val="top"/>
          </w:tcPr>
          <w:p/>
        </w:tc>
        <w:tc>
          <w:tcPr>
            <w:tcW w:type="dxa" w:w="2736"/>
            <w:vAlign w:val="top"/>
          </w:tcPr>
          <w:p/>
        </w:tc>
        <w:tc>
          <w:tcPr>
            <w:tcW w:type="dxa" w:w="2736"/>
            <w:vAlign w:val="top"/>
          </w:tcPr>
          <w:p/>
        </w:tc>
        <w:tc>
          <w:tcPr>
            <w:tcW w:type="dxa" w:w="2736"/>
            <w:vAlign w:val="top"/>
          </w:tcPr>
          <w:p/>
        </w:tc>
      </w:tr>
    </w:tbl>
    <w:p>
      <w:pPr>
        <w:pStyle w:val="Heading1"/>
      </w:pPr>
      <w:r>
        <w:t>Model and questions</w:t>
      </w:r>
    </w:p>
    <w:tbl>
      <w:tblPr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Element ID</w:t>
            </w:r>
          </w:p>
        </w:tc>
        <w:tc>
          <w:tcPr>
            <w:tcW w:type="dxa" w:w="3420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Type and responsibility</w:t>
            </w:r>
          </w:p>
        </w:tc>
        <w:tc>
          <w:tcPr>
            <w:tcW w:type="dxa" w:w="3420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Route/store or external role</w:t>
            </w:r>
          </w:p>
        </w:tc>
        <w:tc>
          <w:tcPr>
            <w:tcW w:type="dxa" w:w="3420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Evidence</w:t>
            </w:r>
          </w:p>
        </w:tc>
      </w:tr>
      <w:tr>
        <w:tc>
          <w:tcPr>
            <w:tcW w:type="dxa" w:w="3420"/>
            <w:vAlign w:val="top"/>
          </w:tcPr>
          <w:p>
            <w:r>
              <w:rPr>
                <w:rFonts w:ascii="Calibri" w:hAnsi="Calibri"/>
                <w:sz w:val="18"/>
              </w:rPr>
              <w:t>P… / D… / E…</w:t>
            </w:r>
          </w:p>
        </w:tc>
        <w:tc>
          <w:tcPr>
            <w:tcW w:type="dxa" w:w="3420"/>
            <w:vAlign w:val="top"/>
          </w:tcPr>
          <w:p/>
        </w:tc>
        <w:tc>
          <w:tcPr>
            <w:tcW w:type="dxa" w:w="3420"/>
            <w:vAlign w:val="top"/>
          </w:tcPr>
          <w:p/>
        </w:tc>
        <w:tc>
          <w:tcPr>
            <w:tcW w:type="dxa" w:w="3420"/>
            <w:vAlign w:val="top"/>
          </w:tcPr>
          <w:p/>
        </w:tc>
      </w:tr>
    </w:tbl>
    <w:tbl>
      <w:tblPr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2736"/>
        <w:gridCol w:w="2736"/>
        <w:gridCol w:w="2736"/>
        <w:gridCol w:w="2736"/>
      </w:tblGrid>
      <w:tr>
        <w:trPr>
          <w:tblHeader/>
        </w:trPr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Flow ID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From → to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Data and effect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Boundary</w:t>
            </w:r>
          </w:p>
        </w:tc>
        <w:tc>
          <w:tcPr>
            <w:tcW w:type="dxa" w:w="2736"/>
            <w:vAlign w:val="top"/>
            <w:shd w:fill="E8EEF5"/>
          </w:tcPr>
          <w:p>
            <w:r>
              <w:rPr>
                <w:rFonts w:ascii="Calibri" w:hAnsi="Calibri"/>
                <w:b/>
                <w:color w:val="18324A"/>
                <w:sz w:val="18"/>
              </w:rPr>
              <w:t>Evidence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Calibri" w:hAnsi="Calibri"/>
                <w:sz w:val="18"/>
              </w:rPr>
              <w:t>F…</w:t>
            </w:r>
          </w:p>
        </w:tc>
        <w:tc>
          <w:tcPr>
            <w:tcW w:type="dxa" w:w="2736"/>
            <w:vAlign w:val="top"/>
          </w:tcPr>
          <w:p/>
        </w:tc>
        <w:tc>
          <w:tcPr>
            <w:tcW w:type="dxa" w:w="2736"/>
            <w:vAlign w:val="top"/>
          </w:tcPr>
          <w:p/>
        </w:tc>
        <w:tc>
          <w:tcPr>
            <w:tcW w:type="dxa" w:w="2736"/>
            <w:vAlign w:val="top"/>
          </w:tcPr>
          <w:p/>
        </w:tc>
        <w:tc>
          <w:tcPr>
            <w:tcW w:type="dxa" w:w="2736"/>
            <w:vAlign w:val="top"/>
          </w:tcPr>
          <w:p/>
        </w:tc>
      </w:tr>
    </w:tbl>
    <w:p>
      <w:r>
        <w:rPr>
          <w:rFonts w:ascii="Calibri" w:hAnsi="Calibri"/>
        </w:rPr>
        <w:t>Boundary record TB…: crossing flow IDs / change in trust or authority / intended control / evidence versus assumption.</w:t>
      </w:r>
    </w:p>
    <w:p>
      <w:r>
        <w:rPr>
          <w:rFonts w:ascii="Calibri" w:hAnsi="Calibri"/>
        </w:rPr>
        <w:t>Question Q…: unanswered point / affected decision or model element / evidence owner / requested evidence / disposition.</w:t>
      </w:r>
    </w:p>
    <w:p>
      <w:pPr>
        <w:pStyle w:val="Heading1"/>
      </w:pPr>
      <w:r>
        <w:t>Scenarios</w:t>
      </w:r>
    </w:p>
    <w:p>
      <w:r>
        <w:rPr>
          <w:rFonts w:ascii="Calibri" w:hAnsi="Calibri"/>
        </w:rPr>
        <w:t>T…: actor or event / preconditions / action and path (model IDs) / hypothesized failure / affected asset / consequence / STRIDE rationale / Top 10 prompt / CWE rationale or unmapped reason / evidence and uncertainty.</w:t>
      </w:r>
    </w:p>
    <w:p>
      <w:r>
        <w:rPr>
          <w:rFonts w:ascii="Calibri" w:hAnsi="Calibri"/>
        </w:rPr>
        <w:t>Coverage: model surface or flow / STRIDE categories considered / linked scenarios / excluded prompt and reason / remaining inquiry.</w:t>
      </w:r>
    </w:p>
    <w:p>
      <w:pPr>
        <w:pStyle w:val="Heading1"/>
      </w:pPr>
      <w:r>
        <w:t>Risk and Response</w:t>
      </w:r>
    </w:p>
    <w:p>
      <w:r>
        <w:rPr>
          <w:rFonts w:ascii="Calibri" w:hAnsi="Calibri"/>
        </w:rPr>
        <w:t>Retain T… as the scenario reference. Record likelihood and impact with evidence/assumptions / matrix result and relative priority / response and alternative / accountable owner / requirement R… / verification V… with allowed, denied or failure observations / residual risk / missing evidence and next action. Do not rewrite the scenario.</w:t>
      </w:r>
    </w:p>
    <w:p>
      <w:pPr>
        <w:pStyle w:val="Heading1"/>
      </w:pPr>
      <w:r>
        <w:t>Peer Review</w:t>
      </w:r>
    </w:p>
    <w:p>
      <w:r>
        <w:rPr>
          <w:rFonts w:ascii="Calibri" w:hAnsi="Calibri"/>
        </w:rPr>
        <w:t>PR…: artifact baseline or revision and location / evidence / issue or supported confirmation / consequence / requested action and observable completion / author disposition (revise, retain with reason, escalate) / updated record or unresolved owner / re-review status.</w:t>
      </w:r>
    </w:p>
    <w:p>
      <w:r>
        <w:rPr>
          <w:rFonts w:ascii="Calibri" w:hAnsi="Calibri"/>
        </w:rPr>
        <w:t>Handoff: reviewed scope/version / key risks and remaining uncertainty / selected Day 2 routes, identities and effects / linked T-R-V records / implementation and test evidence to inspect / recommendation limits and decision owner.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772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772"/>
        <w:sz w:val="16"/>
      </w:rPr>
      <w:t>JWAC | FRX Learner Record Template |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15F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15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FRX Day 1 learner record template</dc:title>
  <dc:subject>Editable learner record structure</dc:subject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