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Security &amp; Compliance</w:t>
      </w:r>
    </w:p>
    <w:bookmarkEnd w:id="23"/>
    <w:bookmarkStart w:id="25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engineering post showing the rebuilt Algolia CLI is agent-ready, mapping its schema introspection, structured output, dry-run validation and scoped auth to published agent-first CLI design principles (a top-five Algolia engineering blog post for February to August 2026)</w:t>
      </w:r>
    </w:p>
    <w:p>
      <w:pPr>
        <w:numPr>
          <w:ilvl w:val="0"/>
          <w:numId w:val="1001"/>
        </w:numPr>
        <w:pStyle w:val="Compact"/>
      </w:pPr>
      <w:r>
        <w:t xml:space="preserve">Built TCG Search, a reusable agentic demo platform, and stood it up at eight conferences, including Microsoft Build, Gartner and Adobe Summit, each in a week or less, with 733 trading cards claimed by booth visitors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year; 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4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5"/>
    <w:bookmarkStart w:id="30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6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0"/>
    <w:bookmarkStart w:id="46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1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2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2022),</w:t>
      </w:r>
      <w:r>
        <w:t xml:space="preserve"> </w:t>
      </w:r>
      <w:hyperlink r:id="rId35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8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9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2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3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4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The WebDev Challenge, Future of AI-native UX</w:t>
        </w:r>
      </w:hyperlink>
    </w:p>
    <w:bookmarkEnd w:id="46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4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4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2026-10-07T00:33:57Z</dcterms:created>
  <dcterms:modified xsi:type="dcterms:W3CDTF">2026-10-07T00:33:57Z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