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E3456" w14:textId="77777777" w:rsidR="00695F2F" w:rsidRDefault="000B1E69" w:rsidP="007177DC">
      <w:pPr>
        <w:spacing w:after="100" w:afterAutospacing="1"/>
      </w:pPr>
      <w:r w:rsidRPr="000B1E69">
        <w:t>The power converter unit is essential for distributing power from the main battery to various subsystems of the MechEng Mars Rover. This guide provides detailed instructions for setting up and connecting the power converter unit.</w:t>
      </w:r>
    </w:p>
    <w:p w14:paraId="42620AB0" w14:textId="18488BF7" w:rsidR="000B1E69" w:rsidRPr="000B1E69" w:rsidRDefault="00695F2F" w:rsidP="00A90C23">
      <w:r>
        <w:rPr>
          <w:noProof/>
        </w:rPr>
        <w:drawing>
          <wp:inline distT="0" distB="0" distL="0" distR="0" wp14:anchorId="7FE49CFE" wp14:editId="7671CD92">
            <wp:extent cx="5170170" cy="4078605"/>
            <wp:effectExtent l="0" t="0" r="0" b="0"/>
            <wp:docPr id="1536453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0170" cy="4078605"/>
                    </a:xfrm>
                    <a:prstGeom prst="rect">
                      <a:avLst/>
                    </a:prstGeom>
                    <a:noFill/>
                  </pic:spPr>
                </pic:pic>
              </a:graphicData>
            </a:graphic>
          </wp:inline>
        </w:drawing>
      </w:r>
    </w:p>
    <w:p w14:paraId="5622E580" w14:textId="77777777" w:rsidR="00AC73A3" w:rsidRPr="00A90C23" w:rsidRDefault="00AC73A3" w:rsidP="00F876BD">
      <w:pPr>
        <w:spacing w:before="100" w:beforeAutospacing="1"/>
        <w:rPr>
          <w:b/>
          <w:bCs/>
        </w:rPr>
      </w:pPr>
      <w:r w:rsidRPr="00A90C23">
        <w:rPr>
          <w:b/>
          <w:bCs/>
        </w:rPr>
        <w:t>Components</w:t>
      </w:r>
    </w:p>
    <w:p w14:paraId="13CB4495" w14:textId="77777777" w:rsidR="00AC73A3" w:rsidRPr="00AC73A3" w:rsidRDefault="00AC73A3" w:rsidP="00A90C23">
      <w:pPr>
        <w:pStyle w:val="ListParagraph"/>
        <w:numPr>
          <w:ilvl w:val="0"/>
          <w:numId w:val="1"/>
        </w:numPr>
        <w:ind w:firstLineChars="0"/>
      </w:pPr>
      <w:r w:rsidRPr="00AC73A3">
        <w:t>300W DC-DC step-down Buck Converters (for 28V to 12V and 5V)</w:t>
      </w:r>
    </w:p>
    <w:p w14:paraId="7812BCE0" w14:textId="77777777" w:rsidR="00AC73A3" w:rsidRPr="00AC73A3" w:rsidRDefault="00AC73A3" w:rsidP="00A90C23">
      <w:pPr>
        <w:pStyle w:val="ListParagraph"/>
        <w:numPr>
          <w:ilvl w:val="0"/>
          <w:numId w:val="1"/>
        </w:numPr>
        <w:ind w:firstLineChars="0"/>
      </w:pPr>
      <w:r w:rsidRPr="00AC73A3">
        <w:t>600W DC-DC step-down Buck Converter (for 28V to 24V)</w:t>
      </w:r>
    </w:p>
    <w:p w14:paraId="01E4D8C9" w14:textId="77777777" w:rsidR="00AC73A3" w:rsidRPr="00AC73A3" w:rsidRDefault="00AC73A3" w:rsidP="00A90C23">
      <w:pPr>
        <w:pStyle w:val="ListParagraph"/>
        <w:numPr>
          <w:ilvl w:val="0"/>
          <w:numId w:val="1"/>
        </w:numPr>
        <w:ind w:firstLineChars="0"/>
      </w:pPr>
      <w:r w:rsidRPr="00AC73A3">
        <w:t>Junction box for housing converters</w:t>
      </w:r>
    </w:p>
    <w:p w14:paraId="435D50CA" w14:textId="77777777" w:rsidR="00AC73A3" w:rsidRPr="00AC73A3" w:rsidRDefault="00AC73A3" w:rsidP="00A90C23">
      <w:pPr>
        <w:pStyle w:val="ListParagraph"/>
        <w:numPr>
          <w:ilvl w:val="0"/>
          <w:numId w:val="1"/>
        </w:numPr>
        <w:ind w:firstLineChars="0"/>
      </w:pPr>
      <w:r w:rsidRPr="00AC73A3">
        <w:t>WAGO connectors for power distribution</w:t>
      </w:r>
    </w:p>
    <w:p w14:paraId="44F500EC" w14:textId="6DF130F2" w:rsidR="00AC73A3" w:rsidRDefault="00AC73A3" w:rsidP="00F876BD">
      <w:pPr>
        <w:pStyle w:val="ListParagraph"/>
        <w:numPr>
          <w:ilvl w:val="0"/>
          <w:numId w:val="1"/>
        </w:numPr>
        <w:spacing w:after="100" w:afterAutospacing="1"/>
        <w:ind w:firstLineChars="0"/>
      </w:pPr>
      <w:r w:rsidRPr="00AC73A3">
        <w:t>Cooling fans for thermal management</w:t>
      </w:r>
    </w:p>
    <w:p w14:paraId="5C130106" w14:textId="1E5001EB" w:rsidR="00A90C23" w:rsidRPr="00A90C23" w:rsidRDefault="00A90C23" w:rsidP="00A90C23">
      <w:pPr>
        <w:rPr>
          <w:b/>
          <w:bCs/>
        </w:rPr>
      </w:pPr>
      <w:r w:rsidRPr="00A90C23">
        <w:rPr>
          <w:b/>
          <w:bCs/>
        </w:rPr>
        <w:t>Power Distribution</w:t>
      </w:r>
    </w:p>
    <w:p w14:paraId="0F682A20" w14:textId="6674A49A" w:rsidR="00A90C23" w:rsidRPr="00A90C23" w:rsidRDefault="00A90C23" w:rsidP="00A90C23">
      <w:pPr>
        <w:pStyle w:val="ListParagraph"/>
        <w:numPr>
          <w:ilvl w:val="0"/>
          <w:numId w:val="2"/>
        </w:numPr>
        <w:ind w:firstLineChars="0"/>
      </w:pPr>
      <w:r w:rsidRPr="00A90C23">
        <w:t>Use WAGO connectors on the junction box lid to distribute power</w:t>
      </w:r>
    </w:p>
    <w:p w14:paraId="2A24B9E9" w14:textId="1944260E" w:rsidR="00A90C23" w:rsidRPr="00A90C23" w:rsidRDefault="00A90C23" w:rsidP="00F876BD">
      <w:pPr>
        <w:pStyle w:val="ListParagraph"/>
        <w:numPr>
          <w:ilvl w:val="0"/>
          <w:numId w:val="2"/>
        </w:numPr>
        <w:spacing w:after="100" w:afterAutospacing="1"/>
        <w:ind w:firstLineChars="0"/>
      </w:pPr>
      <w:r w:rsidRPr="00A90C23">
        <w:t>Provide four 24V terminals, eight 12V terminals, and eight 5V terminals</w:t>
      </w:r>
    </w:p>
    <w:p w14:paraId="543AB054" w14:textId="408EF76C" w:rsidR="00C95AF4" w:rsidRPr="00A90C23" w:rsidRDefault="00C95AF4" w:rsidP="00A90C23">
      <w:pPr>
        <w:rPr>
          <w:b/>
          <w:bCs/>
        </w:rPr>
      </w:pPr>
      <w:r w:rsidRPr="00A90C23">
        <w:rPr>
          <w:rFonts w:hint="eastAsia"/>
          <w:b/>
          <w:bCs/>
        </w:rPr>
        <w:lastRenderedPageBreak/>
        <w:t>Connection Guide</w:t>
      </w:r>
    </w:p>
    <w:p w14:paraId="39BAD5EB" w14:textId="0510EDA0" w:rsidR="00EB06BB" w:rsidRDefault="003855AE" w:rsidP="007C275D">
      <w:pPr>
        <w:pStyle w:val="ListParagraph"/>
        <w:numPr>
          <w:ilvl w:val="0"/>
          <w:numId w:val="3"/>
        </w:numPr>
        <w:ind w:firstLineChars="0"/>
      </w:pPr>
      <w:r>
        <w:rPr>
          <w:rFonts w:hint="eastAsia"/>
        </w:rPr>
        <w:t xml:space="preserve">Connect </w:t>
      </w:r>
      <w:r w:rsidR="001336FC">
        <w:t xml:space="preserve">the </w:t>
      </w:r>
      <w:r>
        <w:rPr>
          <w:rFonts w:hint="eastAsia"/>
        </w:rPr>
        <w:t xml:space="preserve">power </w:t>
      </w:r>
      <w:r w:rsidR="007E0CE4">
        <w:t>source</w:t>
      </w:r>
      <w:r w:rsidR="007E0CE4">
        <w:rPr>
          <w:rFonts w:hint="eastAsia"/>
        </w:rPr>
        <w:t xml:space="preserve"> to the power converter unit input using the XT60 connector</w:t>
      </w:r>
      <w:r w:rsidR="001336FC">
        <w:t>.</w:t>
      </w:r>
    </w:p>
    <w:p w14:paraId="27627A69" w14:textId="10803027" w:rsidR="007E0CE4" w:rsidRDefault="007E0CE4" w:rsidP="007C275D">
      <w:pPr>
        <w:pStyle w:val="ListParagraph"/>
        <w:numPr>
          <w:ilvl w:val="0"/>
          <w:numId w:val="3"/>
        </w:numPr>
        <w:ind w:firstLineChars="0"/>
      </w:pPr>
      <w:r>
        <w:rPr>
          <w:rFonts w:hint="eastAsia"/>
        </w:rPr>
        <w:t xml:space="preserve">Connect </w:t>
      </w:r>
      <w:r w:rsidR="001E7500">
        <w:rPr>
          <w:rFonts w:hint="eastAsia"/>
        </w:rPr>
        <w:t>the</w:t>
      </w:r>
      <w:r w:rsidR="00817ADA">
        <w:rPr>
          <w:rFonts w:hint="eastAsia"/>
        </w:rPr>
        <w:t xml:space="preserve"> subsystem</w:t>
      </w:r>
      <w:r w:rsidR="001E7500">
        <w:rPr>
          <w:rFonts w:hint="eastAsia"/>
        </w:rPr>
        <w:t xml:space="preserve"> </w:t>
      </w:r>
      <w:r w:rsidR="001E7500">
        <w:t>electronics</w:t>
      </w:r>
      <w:r w:rsidR="001E7500">
        <w:rPr>
          <w:rFonts w:hint="eastAsia"/>
        </w:rPr>
        <w:t xml:space="preserve"> to the terminal</w:t>
      </w:r>
      <w:r w:rsidR="00F876BD">
        <w:t>,</w:t>
      </w:r>
      <w:r w:rsidR="001E7500">
        <w:rPr>
          <w:rFonts w:hint="eastAsia"/>
        </w:rPr>
        <w:t xml:space="preserve"> </w:t>
      </w:r>
      <w:r w:rsidR="009577E5">
        <w:rPr>
          <w:rFonts w:hint="eastAsia"/>
        </w:rPr>
        <w:t xml:space="preserve">as </w:t>
      </w:r>
      <w:r w:rsidR="009577E5">
        <w:t>shown</w:t>
      </w:r>
      <w:r w:rsidR="009577E5">
        <w:rPr>
          <w:rFonts w:hint="eastAsia"/>
        </w:rPr>
        <w:t xml:space="preserve"> in the diagram below</w:t>
      </w:r>
      <w:r w:rsidR="001336FC">
        <w:t>.</w:t>
      </w:r>
    </w:p>
    <w:p w14:paraId="0CA32507" w14:textId="34FB99DF" w:rsidR="00D37BE4" w:rsidRPr="001E7500" w:rsidRDefault="00D37BE4" w:rsidP="00D37BE4">
      <w:pPr>
        <w:jc w:val="center"/>
        <w:rPr>
          <w:rFonts w:hint="eastAsia"/>
        </w:rPr>
      </w:pPr>
      <w:r>
        <w:rPr>
          <w:noProof/>
        </w:rPr>
        <w:drawing>
          <wp:inline distT="0" distB="0" distL="0" distR="0" wp14:anchorId="40FB710C" wp14:editId="5AA8E068">
            <wp:extent cx="5274310" cy="3488690"/>
            <wp:effectExtent l="0" t="0" r="0" b="0"/>
            <wp:docPr id="1259732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488690"/>
                    </a:xfrm>
                    <a:prstGeom prst="rect">
                      <a:avLst/>
                    </a:prstGeom>
                    <a:noFill/>
                    <a:ln>
                      <a:noFill/>
                    </a:ln>
                  </pic:spPr>
                </pic:pic>
              </a:graphicData>
            </a:graphic>
          </wp:inline>
        </w:drawing>
      </w:r>
    </w:p>
    <w:sectPr w:rsidR="00D37BE4" w:rsidRPr="001E75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1D9AD" w14:textId="77777777" w:rsidR="00DB5202" w:rsidRDefault="00DB5202" w:rsidP="00A90C23">
      <w:r>
        <w:separator/>
      </w:r>
    </w:p>
  </w:endnote>
  <w:endnote w:type="continuationSeparator" w:id="0">
    <w:p w14:paraId="7521CF59" w14:textId="77777777" w:rsidR="00DB5202" w:rsidRDefault="00DB5202" w:rsidP="00A90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1B8EAF" w14:textId="77777777" w:rsidR="00DB5202" w:rsidRDefault="00DB5202" w:rsidP="00A90C23">
      <w:r>
        <w:separator/>
      </w:r>
    </w:p>
  </w:footnote>
  <w:footnote w:type="continuationSeparator" w:id="0">
    <w:p w14:paraId="2F19F0D5" w14:textId="77777777" w:rsidR="00DB5202" w:rsidRDefault="00DB5202" w:rsidP="00A90C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70B9C"/>
    <w:multiLevelType w:val="hybridMultilevel"/>
    <w:tmpl w:val="4398AC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6783F44"/>
    <w:multiLevelType w:val="hybridMultilevel"/>
    <w:tmpl w:val="B6D6D6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7C14712E"/>
    <w:multiLevelType w:val="hybridMultilevel"/>
    <w:tmpl w:val="81B8DB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818495330">
    <w:abstractNumId w:val="1"/>
  </w:num>
  <w:num w:numId="2" w16cid:durableId="446388536">
    <w:abstractNumId w:val="2"/>
  </w:num>
  <w:num w:numId="3" w16cid:durableId="1200389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za0NDO0tLAwBTIsTZV0lIJTi4sz8/NACgxrAVMHG7AsAAAA"/>
  </w:docVars>
  <w:rsids>
    <w:rsidRoot w:val="00140A6A"/>
    <w:rsid w:val="00016B36"/>
    <w:rsid w:val="000B1E69"/>
    <w:rsid w:val="000F7EA7"/>
    <w:rsid w:val="001212B0"/>
    <w:rsid w:val="001336FC"/>
    <w:rsid w:val="00140A6A"/>
    <w:rsid w:val="00146C77"/>
    <w:rsid w:val="001E7500"/>
    <w:rsid w:val="003855AE"/>
    <w:rsid w:val="00410B72"/>
    <w:rsid w:val="0049404B"/>
    <w:rsid w:val="00695F2F"/>
    <w:rsid w:val="007177DC"/>
    <w:rsid w:val="00773987"/>
    <w:rsid w:val="007C275D"/>
    <w:rsid w:val="007E0CE4"/>
    <w:rsid w:val="007E1FA4"/>
    <w:rsid w:val="00817ADA"/>
    <w:rsid w:val="008C6B6A"/>
    <w:rsid w:val="009577E5"/>
    <w:rsid w:val="009E30D1"/>
    <w:rsid w:val="00A821E6"/>
    <w:rsid w:val="00A90C23"/>
    <w:rsid w:val="00AC73A3"/>
    <w:rsid w:val="00C95AF4"/>
    <w:rsid w:val="00D37BE4"/>
    <w:rsid w:val="00DB5202"/>
    <w:rsid w:val="00E11F66"/>
    <w:rsid w:val="00EB06BB"/>
    <w:rsid w:val="00F41CB4"/>
    <w:rsid w:val="00F87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3756C"/>
  <w15:chartTrackingRefBased/>
  <w15:docId w15:val="{6A4E2FA0-1F17-4FDC-BFCF-BBD1A46B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C23"/>
    <w:pPr>
      <w:widowControl w:val="0"/>
      <w:spacing w:line="360" w:lineRule="auto"/>
      <w:jc w:val="both"/>
    </w:pPr>
    <w:rPr>
      <w:rFonts w:ascii="Arial" w:hAnsi="Arial" w:cs="Arial"/>
      <w:sz w:val="24"/>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E69"/>
    <w:pP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0B1E69"/>
    <w:rPr>
      <w:sz w:val="18"/>
      <w:szCs w:val="18"/>
      <w:lang w:val="en-GB"/>
    </w:rPr>
  </w:style>
  <w:style w:type="paragraph" w:styleId="Footer">
    <w:name w:val="footer"/>
    <w:basedOn w:val="Normal"/>
    <w:link w:val="FooterChar"/>
    <w:uiPriority w:val="99"/>
    <w:unhideWhenUsed/>
    <w:rsid w:val="000B1E69"/>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0B1E69"/>
    <w:rPr>
      <w:sz w:val="18"/>
      <w:szCs w:val="18"/>
      <w:lang w:val="en-GB"/>
    </w:rPr>
  </w:style>
  <w:style w:type="paragraph" w:styleId="ListParagraph">
    <w:name w:val="List Paragraph"/>
    <w:basedOn w:val="Normal"/>
    <w:uiPriority w:val="34"/>
    <w:qFormat/>
    <w:rsid w:val="00AC73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Ruicheng</dc:creator>
  <cp:keywords/>
  <dc:description/>
  <cp:lastModifiedBy>Lai, Ruicheng</cp:lastModifiedBy>
  <cp:revision>23</cp:revision>
  <dcterms:created xsi:type="dcterms:W3CDTF">2024-06-18T14:56:00Z</dcterms:created>
  <dcterms:modified xsi:type="dcterms:W3CDTF">2024-06-18T15:19:00Z</dcterms:modified>
</cp:coreProperties>
</file>