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2"/>
        <w:tblW w:w="1069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110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3234"/>
        <w:gridCol w:w="7463"/>
      </w:tblGrid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Sesi Akademik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Academic Session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2022/2023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Semester/Penggal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Semester/Term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Kod Kursus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Course Code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WIX3001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Tajuk Kursus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Course Title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Pengkomputeran Lembut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Soft Computing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Bahasa Pengantar 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Medium of Instruction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Bahasa Inggeris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Rujukan Utama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Main Reference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ind w:left="387" w:hanging="387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Principles of Soft Computing, S. N. Sivanandam &amp; S. N. Deepa, Wiley – India, 3rd edition, 2018.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ind w:left="387" w:hanging="387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Soft Computing Fundamentals, Techniques and Applications, Saroj Kaushik, Sunita Tiwari, McGraw Hill, 2018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ind w:left="387" w:hanging="387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Neural Networks, Fuzzy Logic and Genetic Algorithms: Synthesis &amp; Applications, S. Rajasekaran &amp; G. A. Vijayalakshmi Pai, PHI Learning Pvt. Ltd., 2016.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Strategi Pembelajaran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Learning Strategies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tbl>
            <w:tblPr>
              <w:tblStyle w:val="a3"/>
              <w:tblW w:w="6996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0" w:val="0000" w:noHBand="0" w:lastColumn="0" w:firstColumn="0" w:lastRow="0" w:firstRow="0"/>
            </w:tblPr>
            <w:tblGrid>
              <w:gridCol w:w="6996"/>
            </w:tblGrid>
            <w:tr>
              <w:trPr>
                <w:trHeight w:val="1012" w:hRule="atLeast"/>
              </w:trPr>
              <w:tc>
                <w:tcPr>
                  <w:tcW w:w="6996" w:type="dxa"/>
                  <w:tcBorders/>
                  <w:shd w:fill="auto" w:val="clear"/>
                </w:tcPr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Kuliah, Tutorial </w:t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 xml:space="preserve">Lecture, Tutorial </w:t>
                  </w:r>
                </w:p>
              </w:tc>
            </w:tr>
          </w:tbl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904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Masa Pembelajaran Pelajar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Student Learning Time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Bersemuka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Face to face </w:t>
            </w:r>
            <w:r>
              <w:rPr>
                <w:rFonts w:eastAsia="Arial" w:cs="Arial" w:ascii="Arial" w:hAnsi="Arial"/>
                <w:sz w:val="20"/>
                <w:szCs w:val="20"/>
              </w:rPr>
              <w:t>: 54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Masa Persediaan Pelajar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Student Preparation Time</w:t>
            </w:r>
            <w:r>
              <w:rPr>
                <w:rFonts w:eastAsia="Arial" w:cs="Arial" w:ascii="Arial" w:hAnsi="Arial"/>
                <w:sz w:val="20"/>
                <w:szCs w:val="20"/>
              </w:rPr>
              <w:t>: 54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Penilaian/Assessment : 12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Kemahiran Boleh Pindah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Transferable Skills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Kemahiran Menggunakan Alatan Pengkomputeran Lembut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Skills applying soft computing tools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Pensyarah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Lecturer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Bilik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Room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Telefon/e-mel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Telephone/e-mail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Dr Liew Wei Shiung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B-2-22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0199659806 / </w:t>
            </w:r>
            <w:hyperlink r:id="rId2">
              <w:r>
                <w:rPr>
                  <w:rStyle w:val="InternetLink"/>
                  <w:rFonts w:eastAsia="Arial" w:cs="Arial" w:ascii="Arial" w:hAnsi="Arial"/>
                  <w:sz w:val="20"/>
                  <w:szCs w:val="20"/>
                </w:rPr>
                <w:t>liew.wei.shiung@um.edu.my</w:t>
              </w:r>
            </w:hyperlink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Sesi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Session: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Hari/Masa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Day/Time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Tempat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Venue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  <w:t>Selasa, 4pm – 6pm</w:t>
            </w:r>
          </w:p>
          <w:p>
            <w:pPr>
              <w:pStyle w:val="Normal"/>
              <w:rPr>
                <w:rFonts w:ascii="Arial" w:hAnsi="Arial" w:eastAsia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Tuesday, 4pm – 6pm</w:t>
            </w:r>
          </w:p>
          <w:p>
            <w:pPr>
              <w:pStyle w:val="Normal"/>
              <w:rPr>
                <w:rFonts w:ascii="Arial" w:hAnsi="Arial" w:eastAsia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iCs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  <w:t>DK1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Sesi Tutorial/Amali: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Tutorial/Practical Session: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Hari/Masa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Day/Time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Tempat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Venue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Khamis, 11am – 12pm, 12pm – 1pm, 3pm – 4pm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Thursday, 11am – 12pm, 12pm – 1pm, 3pm – 4pm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MM4</w:t>
            </w:r>
          </w:p>
        </w:tc>
      </w:tr>
      <w:tr>
        <w:trPr>
          <w:trHeight w:val="397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Perincian Pemberatan Penilaian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trike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Detail of Assessment Weightage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  <w:bookmarkStart w:id="0" w:name="_heading=h.gjdgxs"/>
            <w:bookmarkStart w:id="1" w:name="_heading=h.gjdgxs"/>
            <w:bookmarkEnd w:id="1"/>
          </w:p>
          <w:tbl>
            <w:tblPr>
              <w:tblStyle w:val="a4"/>
              <w:tblW w:w="7182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0" w:val="0000" w:noHBand="0" w:lastColumn="0" w:firstColumn="0" w:lastRow="0" w:firstRow="0"/>
            </w:tblPr>
            <w:tblGrid>
              <w:gridCol w:w="7182"/>
            </w:tblGrid>
            <w:tr>
              <w:trPr>
                <w:trHeight w:val="668" w:hRule="atLeast"/>
              </w:trPr>
              <w:tc>
                <w:tcPr>
                  <w:tcW w:w="7182" w:type="dxa"/>
                  <w:tcBorders/>
                  <w:shd w:fill="auto" w:val="clear"/>
                </w:tcPr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Penilaian Sumatif Alternatif/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>Alternative Summative Assessment (50%)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Peperiksaan / </w:t>
                  </w:r>
                  <w:r>
                    <w:rPr>
                      <w:rFonts w:eastAsia="Arial" w:cs="Arial" w:ascii="Arial" w:hAnsi="Arial"/>
                      <w:i/>
                      <w:iCs/>
                      <w:color w:val="000000"/>
                      <w:sz w:val="20"/>
                      <w:szCs w:val="20"/>
                    </w:rPr>
                    <w:t>Exam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 (50%) (Minggu 17-18 / </w:t>
                  </w:r>
                  <w:r>
                    <w:rPr>
                      <w:rFonts w:eastAsia="Arial" w:cs="Arial" w:ascii="Arial" w:hAnsi="Arial"/>
                      <w:i/>
                      <w:iCs/>
                      <w:color w:val="000000"/>
                      <w:sz w:val="20"/>
                      <w:szCs w:val="20"/>
                    </w:rPr>
                    <w:t>Week 17-18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>)</w:t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Penilaian Berterusan /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 xml:space="preserve">Continuous Assessment 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Tutorial/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 xml:space="preserve">Online Test 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and Tutorial (30%) (Setiap minggu;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>Every week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  <w:p>
                  <w:pPr>
                    <w:pStyle w:val="Normal"/>
                    <w:pBdr/>
                    <w:rPr>
                      <w:rFonts w:ascii="Arial" w:hAnsi="Arial" w:eastAsia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Tugasan /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 xml:space="preserve">Assignment 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(20%) (Minggu 13; </w:t>
                  </w:r>
                  <w:r>
                    <w:rPr>
                      <w:rFonts w:eastAsia="Arial" w:cs="Arial" w:ascii="Arial" w:hAnsi="Arial"/>
                      <w:i/>
                      <w:color w:val="000000"/>
                      <w:sz w:val="20"/>
                      <w:szCs w:val="20"/>
                    </w:rPr>
                    <w:t>Week 13</w:t>
                  </w:r>
                  <w:r>
                    <w:rPr>
                      <w:rFonts w:eastAsia="Arial" w:cs="Arial" w:ascii="Arial" w:hAnsi="Arial"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</w:tc>
            </w:tr>
          </w:tbl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0"/>
          <w:szCs w:val="20"/>
        </w:rPr>
      </w:pPr>
      <w:r>
        <w:br w:type="page"/>
      </w:r>
      <w:r>
        <w:rPr>
          <w:rFonts w:eastAsia="Arial" w:cs="Arial" w:ascii="Arial" w:hAnsi="Arial"/>
          <w:b/>
          <w:sz w:val="20"/>
          <w:szCs w:val="20"/>
        </w:rPr>
        <w:t xml:space="preserve">Jadual Pengajaran / </w:t>
      </w:r>
      <w:r>
        <w:rPr>
          <w:rFonts w:eastAsia="Arial" w:cs="Arial" w:ascii="Arial" w:hAnsi="Arial"/>
          <w:b/>
          <w:i/>
          <w:sz w:val="20"/>
          <w:szCs w:val="20"/>
        </w:rPr>
        <w:t>Teaching Schedule</w:t>
      </w:r>
    </w:p>
    <w:p>
      <w:pPr>
        <w:pStyle w:val="Normal"/>
        <w:spacing w:lineRule="auto" w:line="276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5"/>
        <w:tblW w:w="10774" w:type="dxa"/>
        <w:jc w:val="left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110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134"/>
        <w:gridCol w:w="6387"/>
        <w:gridCol w:w="3253"/>
      </w:tblGrid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Minggu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Week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Topik &amp; Aktiviti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Topic &amp; Activities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Rujukan </w:t>
            </w:r>
          </w:p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References</w:t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1: Pengenalan Kepada Kursus Pengkomputeran Lembut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Introduction to Soft Computing Course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 Forma dan maklumat kursus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Course proforma and course information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1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2: Pengenalan Kepada Rangkaian Neural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Introduction to Neural Networks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3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white"/>
              </w:rPr>
              <w:t xml:space="preserve">Kuliah 3: MLP dan BP (Rambatan Belakang) / </w:t>
            </w:r>
            <w:r>
              <w:rPr>
                <w:rFonts w:eastAsia="Arial" w:cs="Arial" w:ascii="Arial" w:hAnsi="Arial"/>
                <w:i/>
                <w:iCs/>
                <w:color w:val="000000"/>
                <w:sz w:val="20"/>
                <w:szCs w:val="20"/>
                <w:highlight w:val="white"/>
              </w:rPr>
              <w:t>Multi-layer Perceptron and Backpropagation</w:t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white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3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rPr/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Kuliah 4: </w:t>
            </w:r>
            <w:r>
              <w:rPr>
                <w:rFonts w:eastAsia="Arial" w:cs="Arial" w:ascii="Arial" w:hAnsi="Arial"/>
                <w:sz w:val="20"/>
                <w:szCs w:val="20"/>
              </w:rPr>
              <w:t>Rangkaian Neural Terselia dan Tidak Terselia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eastAsia="Arial" w:cs="Arial" w:ascii="Arial" w:hAnsi="Arial"/>
                <w:i/>
                <w:iCs/>
                <w:color w:val="000000"/>
                <w:sz w:val="20"/>
                <w:szCs w:val="20"/>
              </w:rPr>
              <w:t>Supervised and Unsupervised Neural Networks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  <w:tab w:val="left" w:pos="2268" w:leader="none"/>
              </w:tabs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1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5: Pengenalan Kepada Algoritma Genetic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Introduction to Genetic Algorithms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3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6: Teknik-Teknik Pengoptimuman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Optimization Techniques</w:t>
            </w:r>
          </w:p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Summative assessment 1 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  <w:tab w:val="left" w:pos="2268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1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7: Prinsip-Prinsip Algoritma Genetik dan Model Hybrid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Principles of Genetic Algorithms and Hybrid Models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1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8: Pengenalan Kepada Logik Kabur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Introduction to Fuzzy Logic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;  Sistem Kawalan Neuro Kabur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9: Pengaburan dan Penyahkaburan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Fuzzification and Defuzzification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(2 hours), F2F tutorial(1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10: Pengklasifikasi Kabur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Fuzzy Classification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Ujian online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  <w:tab w:val="left" w:pos="2268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  <w:tab w:val="left" w:pos="2268" w:leader="none"/>
              </w:tabs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11: Neuro Kabur Berdasarkan Pengklasifikasi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Neurofuzzy-based Classification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online (2 hours), F2F hybrid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12: Aplikasi Pengkomputeran Lembut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Soft Computing Applications</w:t>
            </w:r>
          </w:p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Summative assessment 2 </w:t>
            </w:r>
          </w:p>
          <w:p>
            <w:pPr>
              <w:pStyle w:val="Normal"/>
              <w:widowControl w:val="false"/>
              <w:tabs>
                <w:tab w:val="left" w:pos="454" w:leader="none"/>
                <w:tab w:val="left" w:pos="1984" w:leader="none"/>
                <w:tab w:val="left" w:pos="2268" w:leader="none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: F2F Lecture (2 hours), F2F tutorial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13: Kajian Aplikasi Pengkomputeran Lembut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Soft Computing Application Studies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Penghantaran Laporan Tugasan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online (2 hours), F2F hybrid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3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14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Kuliah 14: </w:t>
            </w:r>
            <w:bookmarkStart w:id="2" w:name="__DdeLink__1674_3737097364"/>
            <w:r>
              <w:rPr>
                <w:rFonts w:eastAsia="Arial" w:cs="Arial" w:ascii="Arial" w:hAnsi="Arial"/>
                <w:sz w:val="20"/>
                <w:szCs w:val="20"/>
              </w:rPr>
              <w:t>Penggulung</w:t>
            </w:r>
            <w:bookmarkEnd w:id="2"/>
            <w:r>
              <w:rPr>
                <w:rFonts w:eastAsia="Arial" w:cs="Arial" w:ascii="Arial" w:hAnsi="Arial"/>
                <w:sz w:val="20"/>
                <w:szCs w:val="20"/>
              </w:rPr>
              <w:t xml:space="preserve"> Pengkomputeran Lembut /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Concluding Soft Computing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Tutorial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Activities: F2F Lecture online (2 hours), F2F hybrid (1 hour)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Buku Rujukan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Reference Book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2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Nota Kuliah / </w:t>
            </w:r>
            <w:r>
              <w:rPr>
                <w:rFonts w:eastAsia="Arial" w:cs="Arial" w:ascii="Arial" w:hAnsi="Arial"/>
                <w:i/>
                <w:sz w:val="20"/>
                <w:szCs w:val="20"/>
              </w:rPr>
              <w:t>Lecture Note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pBdr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  <w:bookmarkStart w:id="3" w:name="_heading=h.30j0zll"/>
      <w:bookmarkStart w:id="4" w:name="_heading=h.30j0zll"/>
      <w:bookmarkEnd w:id="4"/>
    </w:p>
    <w:p>
      <w:pPr>
        <w:pStyle w:val="Normal"/>
        <w:pBdr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*Subject to changes</w:t>
      </w:r>
      <w:bookmarkStart w:id="5" w:name="_GoBack"/>
      <w:bookmarkEnd w:id="5"/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(W1)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tabs>
        <w:tab w:val="center" w:pos="4320" w:leader="none"/>
        <w:tab w:val="right" w:pos="8640" w:leader="none"/>
      </w:tabs>
      <w:rPr>
        <w:rFonts w:ascii="Arial" w:hAnsi="Arial" w:eastAsia="Arial" w:cs="Arial"/>
        <w:b/>
        <w:b/>
        <w:color w:val="000000"/>
        <w:sz w:val="16"/>
        <w:szCs w:val="16"/>
      </w:rPr>
    </w:pPr>
    <w:r>
      <w:rPr>
        <w:rFonts w:eastAsia="Arial" w:cs="Arial" w:ascii="Arial" w:hAnsi="Arial"/>
        <w:b/>
        <w:color w:val="000000"/>
        <w:sz w:val="16"/>
        <w:szCs w:val="16"/>
      </w:rPr>
    </w:r>
  </w:p>
  <w:p>
    <w:pPr>
      <w:pStyle w:val="Normal"/>
      <w:widowControl w:val="false"/>
      <w:pBdr/>
      <w:tabs>
        <w:tab w:val="center" w:pos="4320" w:leader="none"/>
        <w:tab w:val="right" w:pos="8640" w:leader="none"/>
      </w:tabs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  <w:t>UM-PT01-MQF-BR006-S00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</w:r>
  </w:p>
  <w:tbl>
    <w:tblPr>
      <w:tblStyle w:val="a6"/>
      <w:tblW w:w="10673" w:type="dxa"/>
      <w:jc w:val="left"/>
      <w:tblInd w:w="-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84"/>
      <w:gridCol w:w="7488"/>
    </w:tblGrid>
    <w:tr>
      <w:trPr>
        <w:trHeight w:val="1267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938655" cy="674370"/>
                <wp:effectExtent l="0" t="0" r="0" b="0"/>
                <wp:docPr id="1" name="image1.png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655" cy="67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pBdr/>
            <w:jc w:val="center"/>
            <w:rPr>
              <w:rFonts w:ascii="Arial" w:hAnsi="Arial" w:eastAsia="Arial" w:cs="Arial"/>
              <w:b/>
              <w:b/>
              <w:i/>
              <w:i/>
              <w:color w:val="000000"/>
            </w:rPr>
          </w:pPr>
          <w:r>
            <w:rPr>
              <w:rFonts w:eastAsia="Arial" w:cs="Arial" w:ascii="Arial" w:hAnsi="Arial"/>
              <w:b/>
              <w:color w:val="000000"/>
            </w:rPr>
            <w:t xml:space="preserve">MAKLUMAT KURSUS UNTUK SEMESTER/PENGGAL SEMASA </w:t>
          </w:r>
          <w:r>
            <w:rPr>
              <w:rFonts w:eastAsia="Arial" w:cs="Arial" w:ascii="Arial" w:hAnsi="Arial"/>
              <w:b/>
              <w:i/>
              <w:color w:val="000000"/>
            </w:rPr>
            <w:t>COURSE INFORMATION FOR CURRENT SEMESTER/TERM</w:t>
          </w:r>
        </w:p>
      </w:tc>
    </w:tr>
  </w:tbl>
  <w:p>
    <w:pPr>
      <w:pStyle w:val="Normal"/>
      <w:pBdr/>
      <w:tabs>
        <w:tab w:val="left" w:pos="567" w:leader="none"/>
      </w:tabs>
      <w:spacing w:lineRule="auto" w:line="360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0000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ms-MY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7e4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ms-MY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7e46"/>
    <w:pPr>
      <w:keepNext w:val="true"/>
      <w:spacing w:lineRule="exact" w:line="278"/>
      <w:outlineLvl w:val="1"/>
    </w:pPr>
    <w:rPr>
      <w:rFonts w:ascii="Arial" w:hAnsi="Arial"/>
      <w:szCs w:val="20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7e46"/>
    <w:pPr>
      <w:keepNext w:val="true"/>
      <w:spacing w:lineRule="exact" w:line="278"/>
      <w:jc w:val="center"/>
      <w:outlineLvl w:val="4"/>
    </w:pPr>
    <w:rPr>
      <w:rFonts w:ascii="Times New (W1)" w:hAnsi="Times New (W1)"/>
      <w:szCs w:val="20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cd7e46"/>
    <w:pPr>
      <w:keepNext w:val="true"/>
      <w:jc w:val="center"/>
      <w:outlineLvl w:val="6"/>
    </w:pPr>
    <w:rPr>
      <w:rFonts w:ascii="Arial" w:hAnsi="Arial" w:eastAsia="Times" w:cs="Arial"/>
      <w:b/>
      <w:bCs/>
      <w:szCs w:val="20"/>
    </w:rPr>
  </w:style>
  <w:style w:type="paragraph" w:styleId="Heading8">
    <w:name w:val="Heading 8"/>
    <w:basedOn w:val="Normal"/>
    <w:next w:val="Normal"/>
    <w:qFormat/>
    <w:rsid w:val="00cd7e46"/>
    <w:pPr>
      <w:keepNext w:val="true"/>
      <w:spacing w:lineRule="exact" w:line="278"/>
      <w:jc w:val="center"/>
      <w:outlineLvl w:val="7"/>
    </w:pPr>
    <w:rPr>
      <w:rFonts w:ascii="Arial" w:hAnsi="Arial" w:cs="Arial"/>
      <w:b/>
      <w:bCs/>
      <w:sz w:val="20"/>
      <w:szCs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cd7e46"/>
    <w:rPr>
      <w:color w:val="0000FF"/>
      <w:u w:val="single"/>
    </w:rPr>
  </w:style>
  <w:style w:type="character" w:styleId="Pagenumber">
    <w:name w:val="page number"/>
    <w:basedOn w:val="DefaultParagraphFont"/>
    <w:qFormat/>
    <w:rsid w:val="007c4976"/>
    <w:rPr/>
  </w:style>
  <w:style w:type="character" w:styleId="Appleconvertedspace" w:customStyle="1">
    <w:name w:val="apple-converted-space"/>
    <w:qFormat/>
    <w:rsid w:val="0032483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062c1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eastAsia="Arial" w:cs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d7e46"/>
    <w:pPr>
      <w:spacing w:lineRule="exact" w:line="278"/>
      <w:ind w:right="568" w:hanging="0"/>
    </w:pPr>
    <w:rPr>
      <w:rFonts w:ascii="Arial" w:hAnsi="Arial" w:cs="Arial"/>
      <w:b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cd7e46"/>
    <w:pPr>
      <w:widowControl w:val="false"/>
      <w:tabs>
        <w:tab w:val="center" w:pos="4320" w:leader="none"/>
        <w:tab w:val="right" w:pos="8640" w:leader="none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cd7e46"/>
    <w:pPr>
      <w:widowControl w:val="false"/>
      <w:tabs>
        <w:tab w:val="center" w:pos="4320" w:leader="none"/>
        <w:tab w:val="right" w:pos="8640" w:leader="none"/>
      </w:tabs>
    </w:pPr>
    <w:rPr>
      <w:sz w:val="20"/>
      <w:szCs w:val="20"/>
      <w:lang w:val="en-GB"/>
    </w:rPr>
  </w:style>
  <w:style w:type="paragraph" w:styleId="BalloonText">
    <w:name w:val="Balloon Text"/>
    <w:basedOn w:val="Normal"/>
    <w:semiHidden/>
    <w:qFormat/>
    <w:rsid w:val="00cd7e46"/>
    <w:pPr/>
    <w:rPr>
      <w:rFonts w:ascii="Tahoma" w:hAnsi="Tahoma" w:eastAsia="Times" w:cs="Tahoma"/>
      <w:sz w:val="16"/>
      <w:szCs w:val="16"/>
    </w:rPr>
  </w:style>
  <w:style w:type="paragraph" w:styleId="BodyText2">
    <w:name w:val="Body Text 2"/>
    <w:basedOn w:val="Normal"/>
    <w:qFormat/>
    <w:rsid w:val="00cd7e46"/>
    <w:pPr>
      <w:spacing w:lineRule="exact" w:line="278"/>
    </w:pPr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756dd1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225a43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c1b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ew.wei.shiung@um.edu.my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ffkmx4OHa25tQoXx0UIiDOFPyg==">AMUW2mUslE1TV01AYtVpB+OedEuaaYr6Wrvtn2KFnQ00i+MJVJxSalloieiMaMMLkWB6mnnKnM4aSiWqnAxLEMiYqE7mPtkueSdWFsWxZk+wHU6GyLuzn+UllbElXLL83Pn9MrrqlBEM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4</Pages>
  <Words>754</Words>
  <Characters>4330</Characters>
  <CharactersWithSpaces>4971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2022-04-14T14:20:00Z</dcterms:created>
  <dc:creator>Sarina</dc:creator>
  <dc:description/>
  <dc:language>en-US</dc:language>
  <cp:lastModifiedBy/>
  <dcterms:modified xsi:type="dcterms:W3CDTF">2023-03-23T15:13:12Z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