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Arc Transit System</w:t>
      </w:r>
    </w:p>
    <w:p>
      <w:pPr>
        <w:spacing w:after="200"/>
      </w:pPr>
      <w:r>
        <w:rPr>
          <w:i/>
          <w:color w:val="595959"/>
          <w:sz w:val="28"/>
        </w:rPr>
        <w:t>Feature Additions, Optimizations, and Competitive Analysis</w:t>
      </w:r>
    </w:p>
    <w:p>
      <w:pPr>
        <w:pStyle w:val="Heading1"/>
      </w:pPr>
      <w:r>
        <w:t>1. Executive Summary</w:t>
      </w:r>
    </w:p>
    <w:p>
      <w:pPr>
        <w:spacing w:after="120"/>
      </w:pPr>
      <w:r>
        <w:rPr>
          <w:rFonts w:ascii="Calibri" w:hAnsi="Calibri"/>
          <w:sz w:val="21"/>
        </w:rPr>
        <w:t xml:space="preserve">The Arc Transit System is a modular, web-based fleet intelligence and transit operations platform built specifically for the Philippine public transportation context. Unlike existing commercial solutions such as Geotab and Samsara, which are designed primarily for Western logistics markets and carry significant cost, infrastructure, and contractual barriers, Arc Transit addresses the operational realities of Philippine transit operators — fragmented fleet ownership, limited technology budgets, unreliable connectivity infrastructure, and evolving LTFRB compliance requirements.</w:t>
      </w:r>
    </w:p>
    <w:p>
      <w:pPr>
        <w:spacing w:after="120"/>
      </w:pPr>
      <w:r>
        <w:rPr>
          <w:rFonts w:ascii="Calibri" w:hAnsi="Calibri"/>
          <w:sz w:val="21"/>
        </w:rPr>
        <w:t xml:space="preserve">This document elaborates on the feature additions and architectural optimizations implemented across the development lifecycle and concludes that this project provides significant improvements compared to both identified Philippine constraints and existing fleet intelligence tracking applications.</w:t>
      </w:r>
    </w:p>
    <w:p>
      <w:pPr>
        <w:pStyle w:val="Heading1"/>
      </w:pPr>
      <w:r>
        <w:t>2. Identified Philippine Public Transportation Constraints</w:t>
      </w:r>
    </w:p>
    <w:p>
      <w:pPr>
        <w:spacing w:after="120"/>
      </w:pPr>
      <w:r>
        <w:rPr>
          <w:rFonts w:ascii="Calibri" w:hAnsi="Calibri"/>
          <w:sz w:val="21"/>
        </w:rPr>
        <w:t xml:space="preserve">The following constraints were identified through research into the Philippine Public Transport Modernization Program (PTMP), LTFRB regulations, and operational realities reported by transit operators and advocacy groups (e.g., Move As One Coalition):</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Constraint</w:t>
            </w:r>
          </w:p>
        </w:tc>
        <w:tc>
          <w:tcPr>
            <w:shd w:val="clear" w:color="auto" w:fill="1F497D"/>
            <w:tcMar>
              <w:top w:w="60" w:type="dxa"/>
              <w:bottom w:w="60" w:type="dxa"/>
              <w:left w:w="100" w:type="dxa"/>
              <w:right w:w="100" w:type="dxa"/>
            </w:tcMar>
          </w:tcPr>
          <w:p>
            <w:r>
              <w:rPr>
                <w:rFonts w:ascii="Calibri" w:hAnsi="Calibri"/>
                <w:sz w:val="18"/>
                <w:b/>
                <w:color w:val="FFFFFF"/>
              </w:rPr>
              <w:t xml:space="preserve">Description</w:t>
            </w:r>
          </w:p>
        </w:tc>
      </w:tr>
      <w:tr>
        <w:tc>
          <w:tcPr>
            <w:tcMar>
              <w:top w:w="60" w:type="dxa"/>
              <w:bottom w:w="60" w:type="dxa"/>
              <w:left w:w="100" w:type="dxa"/>
              <w:right w:w="100" w:type="dxa"/>
            </w:tcMar>
          </w:tcPr>
          <w:p>
            <w:r>
              <w:rPr>
                <w:rFonts w:ascii="Calibri" w:hAnsi="Calibri"/>
                <w:sz w:val="18"/>
              </w:rPr>
              <w:t xml:space="preserve">High Technology Costs</w:t>
            </w:r>
          </w:p>
        </w:tc>
        <w:tc>
          <w:tcPr>
            <w:tcMar>
              <w:top w:w="60" w:type="dxa"/>
              <w:bottom w:w="60" w:type="dxa"/>
              <w:left w:w="100" w:type="dxa"/>
              <w:right w:w="100" w:type="dxa"/>
            </w:tcMar>
          </w:tcPr>
          <w:p>
            <w:r>
              <w:rPr>
                <w:rFonts w:ascii="Calibri" w:hAnsi="Calibri"/>
                <w:sz w:val="18"/>
              </w:rPr>
              <w:t xml:space="preserve">Modern fleet management solutions (Geotab, Samsara) cost PHP 1,500-3,400+/vehicle/month in subscription fees alone, plus PHP 5,500-30,000+ in upfront hardware per unit - prohibitive for cooperatives managing 15-50 vehicles.</w:t>
            </w:r>
          </w:p>
        </w:tc>
      </w:tr>
      <w:tr>
        <w:tc>
          <w:tcPr>
            <w:tcMar>
              <w:top w:w="60" w:type="dxa"/>
              <w:bottom w:w="60" w:type="dxa"/>
              <w:left w:w="100" w:type="dxa"/>
              <w:right w:w="100" w:type="dxa"/>
            </w:tcMar>
          </w:tcPr>
          <w:p>
            <w:r>
              <w:rPr>
                <w:rFonts w:ascii="Calibri" w:hAnsi="Calibri"/>
                <w:sz w:val="18"/>
              </w:rPr>
              <w:t xml:space="preserve">Mandatory GPS/GNSS Compliance</w:t>
            </w:r>
          </w:p>
        </w:tc>
        <w:tc>
          <w:tcPr>
            <w:tcMar>
              <w:top w:w="60" w:type="dxa"/>
              <w:bottom w:w="60" w:type="dxa"/>
              <w:left w:w="100" w:type="dxa"/>
              <w:right w:w="100" w:type="dxa"/>
            </w:tcMar>
          </w:tcPr>
          <w:p>
            <w:r>
              <w:rPr>
                <w:rFonts w:ascii="Calibri" w:hAnsi="Calibri"/>
                <w:sz w:val="18"/>
              </w:rPr>
              <w:t xml:space="preserve">LTFRB requires accredited GPS tracking devices with 5m accuracy or better and real-time data transmission to a central monitoring server for franchise renewal.</w:t>
            </w:r>
          </w:p>
        </w:tc>
      </w:tr>
      <w:tr>
        <w:tc>
          <w:tcPr>
            <w:tcMar>
              <w:top w:w="60" w:type="dxa"/>
              <w:bottom w:w="60" w:type="dxa"/>
              <w:left w:w="100" w:type="dxa"/>
              <w:right w:w="100" w:type="dxa"/>
            </w:tcMar>
          </w:tcPr>
          <w:p>
            <w:r>
              <w:rPr>
                <w:rFonts w:ascii="Calibri" w:hAnsi="Calibri"/>
                <w:sz w:val="18"/>
              </w:rPr>
              <w:t xml:space="preserve">Multi-Year Contract Lock-In</w:t>
            </w:r>
          </w:p>
        </w:tc>
        <w:tc>
          <w:tcPr>
            <w:tcMar>
              <w:top w:w="60" w:type="dxa"/>
              <w:bottom w:w="60" w:type="dxa"/>
              <w:left w:w="100" w:type="dxa"/>
              <w:right w:w="100" w:type="dxa"/>
            </w:tcMar>
          </w:tcPr>
          <w:p>
            <w:r>
              <w:rPr>
                <w:rFonts w:ascii="Calibri" w:hAnsi="Calibri"/>
                <w:sz w:val="18"/>
              </w:rPr>
              <w:t xml:space="preserve">Samsara requires a minimum 3-year contract with buyout penalties. Geotab pricing is modular but requires proprietary hardware (GO9 devices). Neither offers flexible, self-hosted alternatives.</w:t>
            </w:r>
          </w:p>
        </w:tc>
      </w:tr>
      <w:tr>
        <w:tc>
          <w:tcPr>
            <w:tcMar>
              <w:top w:w="60" w:type="dxa"/>
              <w:bottom w:w="60" w:type="dxa"/>
              <w:left w:w="100" w:type="dxa"/>
              <w:right w:w="100" w:type="dxa"/>
            </w:tcMar>
          </w:tcPr>
          <w:p>
            <w:r>
              <w:rPr>
                <w:rFonts w:ascii="Calibri" w:hAnsi="Calibri"/>
                <w:sz w:val="18"/>
              </w:rPr>
              <w:t xml:space="preserve">Unreliable Cellular Connectivity</w:t>
            </w:r>
          </w:p>
        </w:tc>
        <w:tc>
          <w:tcPr>
            <w:tcMar>
              <w:top w:w="60" w:type="dxa"/>
              <w:bottom w:w="60" w:type="dxa"/>
              <w:left w:w="100" w:type="dxa"/>
              <w:right w:w="100" w:type="dxa"/>
            </w:tcMar>
          </w:tcPr>
          <w:p>
            <w:r>
              <w:rPr>
                <w:rFonts w:ascii="Calibri" w:hAnsi="Calibri"/>
                <w:sz w:val="18"/>
              </w:rPr>
              <w:t xml:space="preserve">Both Geotab and Samsara are cloud-dependent platforms that degrade or fail entirely in areas with poor network coverage - a documented reality in provincial Philippine routes.</w:t>
            </w:r>
          </w:p>
        </w:tc>
      </w:tr>
      <w:tr>
        <w:tc>
          <w:tcPr>
            <w:tcMar>
              <w:top w:w="60" w:type="dxa"/>
              <w:bottom w:w="60" w:type="dxa"/>
              <w:left w:w="100" w:type="dxa"/>
              <w:right w:w="100" w:type="dxa"/>
            </w:tcMar>
          </w:tcPr>
          <w:p>
            <w:r>
              <w:rPr>
                <w:rFonts w:ascii="Calibri" w:hAnsi="Calibri"/>
                <w:sz w:val="18"/>
              </w:rPr>
              <w:t xml:space="preserve">Fragmented Fleet Ownership</w:t>
            </w:r>
          </w:p>
        </w:tc>
        <w:tc>
          <w:tcPr>
            <w:tcMar>
              <w:top w:w="60" w:type="dxa"/>
              <w:bottom w:w="60" w:type="dxa"/>
              <w:left w:w="100" w:type="dxa"/>
              <w:right w:w="100" w:type="dxa"/>
            </w:tcMar>
          </w:tcPr>
          <w:p>
            <w:r>
              <w:rPr>
                <w:rFonts w:ascii="Calibri" w:hAnsi="Calibri"/>
                <w:sz w:val="18"/>
              </w:rPr>
              <w:t xml:space="preserve">The consolidation of individual operators into cooperatives/corporations under PTMP is only ~43% approved (as of early 2025), meaning many operators still manage small, heterogeneous fleets without centralized systems.</w:t>
            </w:r>
          </w:p>
        </w:tc>
      </w:tr>
      <w:tr>
        <w:tc>
          <w:tcPr>
            <w:tcMar>
              <w:top w:w="60" w:type="dxa"/>
              <w:bottom w:w="60" w:type="dxa"/>
              <w:left w:w="100" w:type="dxa"/>
              <w:right w:w="100" w:type="dxa"/>
            </w:tcMar>
          </w:tcPr>
          <w:p>
            <w:r>
              <w:rPr>
                <w:rFonts w:ascii="Calibri" w:hAnsi="Calibri"/>
                <w:sz w:val="18"/>
              </w:rPr>
              <w:t xml:space="preserve">Maintenance and Safety Gaps</w:t>
            </w:r>
          </w:p>
        </w:tc>
        <w:tc>
          <w:tcPr>
            <w:tcMar>
              <w:top w:w="60" w:type="dxa"/>
              <w:bottom w:w="60" w:type="dxa"/>
              <w:left w:w="100" w:type="dxa"/>
              <w:right w:w="100" w:type="dxa"/>
            </w:tcMar>
          </w:tcPr>
          <w:p>
            <w:r>
              <w:rPr>
                <w:rFonts w:ascii="Calibri" w:hAnsi="Calibri"/>
                <w:sz w:val="18"/>
              </w:rPr>
              <w:t xml:space="preserve">Aging fleets, insufficient depot infrastructure, and lack of preventive maintenance tracking contribute to safety violations flagged by LTFRB audits.</w:t>
            </w:r>
          </w:p>
        </w:tc>
      </w:tr>
      <w:tr>
        <w:tc>
          <w:tcPr>
            <w:tcMar>
              <w:top w:w="60" w:type="dxa"/>
              <w:bottom w:w="60" w:type="dxa"/>
              <w:left w:w="100" w:type="dxa"/>
              <w:right w:w="100" w:type="dxa"/>
            </w:tcMar>
          </w:tcPr>
          <w:p>
            <w:r>
              <w:rPr>
                <w:rFonts w:ascii="Calibri" w:hAnsi="Calibri"/>
                <w:sz w:val="18"/>
              </w:rPr>
              <w:t xml:space="preserve">Technology Adoption Gap</w:t>
            </w:r>
          </w:p>
        </w:tc>
        <w:tc>
          <w:tcPr>
            <w:tcMar>
              <w:top w:w="60" w:type="dxa"/>
              <w:bottom w:w="60" w:type="dxa"/>
              <w:left w:w="100" w:type="dxa"/>
              <w:right w:w="100" w:type="dxa"/>
            </w:tcMar>
          </w:tcPr>
          <w:p>
            <w:r>
              <w:rPr>
                <w:rFonts w:ascii="Calibri" w:hAnsi="Calibri"/>
                <w:sz w:val="18"/>
              </w:rPr>
              <w:t xml:space="preserve">Uneven adoption of digital ticketing, GPS monitoring, and smart fleet management systems due to operational cost concerns and technical literacy barriers.</w:t>
            </w:r>
          </w:p>
        </w:tc>
      </w:tr>
    </w:tbl>
    <w:p/>
    <w:p>
      <w:pPr>
        <w:pStyle w:val="Heading1"/>
      </w:pPr>
      <w:r>
        <w:t>3. Existing Fleet Intelligence Platforms - Capabilities and Limitations</w:t>
      </w:r>
    </w:p>
    <w:p>
      <w:pPr>
        <w:pStyle w:val="Heading2"/>
      </w:pPr>
      <w:r>
        <w:t>3.1 Geotab</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Aspect</w:t>
            </w:r>
          </w:p>
        </w:tc>
        <w:tc>
          <w:tcPr>
            <w:shd w:val="clear" w:color="auto" w:fill="1F497D"/>
            <w:tcMar>
              <w:top w:w="60" w:type="dxa"/>
              <w:bottom w:w="60" w:type="dxa"/>
              <w:left w:w="100" w:type="dxa"/>
              <w:right w:w="100" w:type="dxa"/>
            </w:tcMar>
          </w:tcPr>
          <w:p>
            <w:r>
              <w:rPr>
                <w:rFonts w:ascii="Calibri" w:hAnsi="Calibri"/>
                <w:sz w:val="18"/>
                <w:b/>
                <w:color w:val="FFFFFF"/>
              </w:rPr>
              <w:t xml:space="preserve">Details</w:t>
            </w:r>
          </w:p>
        </w:tc>
      </w:tr>
      <w:tr>
        <w:tc>
          <w:tcPr>
            <w:tcMar>
              <w:top w:w="60" w:type="dxa"/>
              <w:bottom w:w="60" w:type="dxa"/>
              <w:left w:w="100" w:type="dxa"/>
              <w:right w:w="100" w:type="dxa"/>
            </w:tcMar>
          </w:tcPr>
          <w:p>
            <w:r>
              <w:rPr>
                <w:rFonts w:ascii="Calibri" w:hAnsi="Calibri"/>
                <w:sz w:val="18"/>
              </w:rPr>
              <w:t xml:space="preserve">Strengths</w:t>
            </w:r>
          </w:p>
        </w:tc>
        <w:tc>
          <w:tcPr>
            <w:tcMar>
              <w:top w:w="60" w:type="dxa"/>
              <w:bottom w:w="60" w:type="dxa"/>
              <w:left w:w="100" w:type="dxa"/>
              <w:right w:w="100" w:type="dxa"/>
            </w:tcMar>
          </w:tcPr>
          <w:p>
            <w:r>
              <w:rPr>
                <w:rFonts w:ascii="Calibri" w:hAnsi="Calibri"/>
                <w:sz w:val="18"/>
              </w:rPr>
              <w:t xml:space="preserve">Real-time GPS tracking, AI-powered video telematics, engine diagnostics, fuel siphoning detection, route optimization, open API marketplace.</w:t>
            </w:r>
          </w:p>
        </w:tc>
      </w:tr>
      <w:tr>
        <w:tc>
          <w:tcPr>
            <w:tcMar>
              <w:top w:w="60" w:type="dxa"/>
              <w:bottom w:w="60" w:type="dxa"/>
              <w:left w:w="100" w:type="dxa"/>
              <w:right w:w="100" w:type="dxa"/>
            </w:tcMar>
          </w:tcPr>
          <w:p>
            <w:r>
              <w:rPr>
                <w:rFonts w:ascii="Calibri" w:hAnsi="Calibri"/>
                <w:sz w:val="18"/>
              </w:rPr>
              <w:t xml:space="preserve">Pricing</w:t>
            </w:r>
          </w:p>
        </w:tc>
        <w:tc>
          <w:tcPr>
            <w:tcMar>
              <w:top w:w="60" w:type="dxa"/>
              <w:bottom w:w="60" w:type="dxa"/>
              <w:left w:w="100" w:type="dxa"/>
              <w:right w:w="100" w:type="dxa"/>
            </w:tcMar>
          </w:tcPr>
          <w:p>
            <w:r>
              <w:rPr>
                <w:rFonts w:ascii="Calibri" w:hAnsi="Calibri"/>
                <w:sz w:val="18"/>
              </w:rPr>
              <w:t xml:space="preserve">$5-$20+/vehicle/month (varies by tier), plus proprietary GO9 hardware costs. Requires authorized local partners (e.g., PIONEER Truck Parts).</w:t>
            </w:r>
          </w:p>
        </w:tc>
      </w:tr>
      <w:tr>
        <w:tc>
          <w:tcPr>
            <w:tcMar>
              <w:top w:w="60" w:type="dxa"/>
              <w:bottom w:w="60" w:type="dxa"/>
              <w:left w:w="100" w:type="dxa"/>
              <w:right w:w="100" w:type="dxa"/>
            </w:tcMar>
          </w:tcPr>
          <w:p>
            <w:r>
              <w:rPr>
                <w:rFonts w:ascii="Calibri" w:hAnsi="Calibri"/>
                <w:sz w:val="18"/>
              </w:rPr>
              <w:t xml:space="preserve">Limitations</w:t>
            </w:r>
          </w:p>
        </w:tc>
        <w:tc>
          <w:tcPr>
            <w:tcMar>
              <w:top w:w="60" w:type="dxa"/>
              <w:bottom w:w="60" w:type="dxa"/>
              <w:left w:w="100" w:type="dxa"/>
              <w:right w:w="100" w:type="dxa"/>
            </w:tcMar>
          </w:tcPr>
          <w:p>
            <w:r>
              <w:rPr>
                <w:rFonts w:ascii="Calibri" w:hAnsi="Calibri"/>
                <w:sz w:val="18"/>
              </w:rPr>
              <w:t xml:space="preserve">Not certified for emergency/fail-safe use. Relies on cellular connectivity. GPS accuracy subject to third-party interference. Public transit features require separate marketplace integrations.</w:t>
            </w:r>
          </w:p>
        </w:tc>
      </w:tr>
      <w:tr>
        <w:tc>
          <w:tcPr>
            <w:tcMar>
              <w:top w:w="60" w:type="dxa"/>
              <w:bottom w:w="60" w:type="dxa"/>
              <w:left w:w="100" w:type="dxa"/>
              <w:right w:w="100" w:type="dxa"/>
            </w:tcMar>
          </w:tcPr>
          <w:p>
            <w:r>
              <w:rPr>
                <w:rFonts w:ascii="Calibri" w:hAnsi="Calibri"/>
                <w:sz w:val="18"/>
              </w:rPr>
              <w:t xml:space="preserve">PH Relevance</w:t>
            </w:r>
          </w:p>
        </w:tc>
        <w:tc>
          <w:tcPr>
            <w:tcMar>
              <w:top w:w="60" w:type="dxa"/>
              <w:bottom w:w="60" w:type="dxa"/>
              <w:left w:w="100" w:type="dxa"/>
              <w:right w:w="100" w:type="dxa"/>
            </w:tcMar>
          </w:tcPr>
          <w:p>
            <w:r>
              <w:rPr>
                <w:rFonts w:ascii="Calibri" w:hAnsi="Calibri"/>
                <w:sz w:val="18"/>
              </w:rPr>
              <w:t xml:space="preserve">Available through local partners, but pricing and hardware dependency create barriers for small cooperatives.</w:t>
            </w:r>
          </w:p>
        </w:tc>
      </w:tr>
    </w:tbl>
    <w:p/>
    <w:p>
      <w:pPr>
        <w:pStyle w:val="Heading2"/>
      </w:pPr>
      <w:r>
        <w:t>3.2 Samsara</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Aspect</w:t>
            </w:r>
          </w:p>
        </w:tc>
        <w:tc>
          <w:tcPr>
            <w:shd w:val="clear" w:color="auto" w:fill="1F497D"/>
            <w:tcMar>
              <w:top w:w="60" w:type="dxa"/>
              <w:bottom w:w="60" w:type="dxa"/>
              <w:left w:w="100" w:type="dxa"/>
              <w:right w:w="100" w:type="dxa"/>
            </w:tcMar>
          </w:tcPr>
          <w:p>
            <w:r>
              <w:rPr>
                <w:rFonts w:ascii="Calibri" w:hAnsi="Calibri"/>
                <w:sz w:val="18"/>
                <w:b/>
                <w:color w:val="FFFFFF"/>
              </w:rPr>
              <w:t xml:space="preserve">Details</w:t>
            </w:r>
          </w:p>
        </w:tc>
      </w:tr>
      <w:tr>
        <w:tc>
          <w:tcPr>
            <w:tcMar>
              <w:top w:w="60" w:type="dxa"/>
              <w:bottom w:w="60" w:type="dxa"/>
              <w:left w:w="100" w:type="dxa"/>
              <w:right w:w="100" w:type="dxa"/>
            </w:tcMar>
          </w:tcPr>
          <w:p>
            <w:r>
              <w:rPr>
                <w:rFonts w:ascii="Calibri" w:hAnsi="Calibri"/>
                <w:sz w:val="18"/>
              </w:rPr>
              <w:t xml:space="preserve">Strengths</w:t>
            </w:r>
          </w:p>
        </w:tc>
        <w:tc>
          <w:tcPr>
            <w:tcMar>
              <w:top w:w="60" w:type="dxa"/>
              <w:bottom w:w="60" w:type="dxa"/>
              <w:left w:w="100" w:type="dxa"/>
              <w:right w:w="100" w:type="dxa"/>
            </w:tcMar>
          </w:tcPr>
          <w:p>
            <w:r>
              <w:rPr>
                <w:rFonts w:ascii="Calibri" w:hAnsi="Calibri"/>
                <w:sz w:val="18"/>
              </w:rPr>
              <w:t xml:space="preserve">1-second GPS updates, AI dashcams with drowsiness detection, ELD/HOS compliance, 350+ integrations, predictive maintenance, EV transition support.</w:t>
            </w:r>
          </w:p>
        </w:tc>
      </w:tr>
      <w:tr>
        <w:tc>
          <w:tcPr>
            <w:tcMar>
              <w:top w:w="60" w:type="dxa"/>
              <w:bottom w:w="60" w:type="dxa"/>
              <w:left w:w="100" w:type="dxa"/>
              <w:right w:w="100" w:type="dxa"/>
            </w:tcMar>
          </w:tcPr>
          <w:p>
            <w:r>
              <w:rPr>
                <w:rFonts w:ascii="Calibri" w:hAnsi="Calibri"/>
                <w:sz w:val="18"/>
              </w:rPr>
              <w:t xml:space="preserve">Pricing</w:t>
            </w:r>
          </w:p>
        </w:tc>
        <w:tc>
          <w:tcPr>
            <w:tcMar>
              <w:top w:w="60" w:type="dxa"/>
              <w:bottom w:w="60" w:type="dxa"/>
              <w:left w:w="100" w:type="dxa"/>
              <w:right w:w="100" w:type="dxa"/>
            </w:tcMar>
          </w:tcPr>
          <w:p>
            <w:r>
              <w:rPr>
                <w:rFonts w:ascii="Calibri" w:hAnsi="Calibri"/>
                <w:sz w:val="18"/>
              </w:rPr>
              <w:t xml:space="preserve">$27-$60/vehicle/month subscription + $99-$548/unit hardware. Minimum 3-year contract with buyout penalties.</w:t>
            </w:r>
          </w:p>
        </w:tc>
      </w:tr>
      <w:tr>
        <w:tc>
          <w:tcPr>
            <w:tcMar>
              <w:top w:w="60" w:type="dxa"/>
              <w:bottom w:w="60" w:type="dxa"/>
              <w:left w:w="100" w:type="dxa"/>
              <w:right w:w="100" w:type="dxa"/>
            </w:tcMar>
          </w:tcPr>
          <w:p>
            <w:r>
              <w:rPr>
                <w:rFonts w:ascii="Calibri" w:hAnsi="Calibri"/>
                <w:sz w:val="18"/>
              </w:rPr>
              <w:t xml:space="preserve">Limitations</w:t>
            </w:r>
          </w:p>
        </w:tc>
        <w:tc>
          <w:tcPr>
            <w:tcMar>
              <w:top w:w="60" w:type="dxa"/>
              <w:bottom w:w="60" w:type="dxa"/>
              <w:left w:w="100" w:type="dxa"/>
              <w:right w:w="100" w:type="dxa"/>
            </w:tcMar>
          </w:tcPr>
          <w:p>
            <w:r>
              <w:rPr>
                <w:rFonts w:ascii="Calibri" w:hAnsi="Calibri"/>
                <w:sz w:val="18"/>
              </w:rPr>
              <w:t xml:space="preserve">High upfront investment. Feature overload for small operators. Proprietary hardware lock-in. Cloud-dependent with no offline capability.</w:t>
            </w:r>
          </w:p>
        </w:tc>
      </w:tr>
      <w:tr>
        <w:tc>
          <w:tcPr>
            <w:tcMar>
              <w:top w:w="60" w:type="dxa"/>
              <w:bottom w:w="60" w:type="dxa"/>
              <w:left w:w="100" w:type="dxa"/>
              <w:right w:w="100" w:type="dxa"/>
            </w:tcMar>
          </w:tcPr>
          <w:p>
            <w:r>
              <w:rPr>
                <w:rFonts w:ascii="Calibri" w:hAnsi="Calibri"/>
                <w:sz w:val="18"/>
              </w:rPr>
              <w:t xml:space="preserve">PH Relevance</w:t>
            </w:r>
          </w:p>
        </w:tc>
        <w:tc>
          <w:tcPr>
            <w:tcMar>
              <w:top w:w="60" w:type="dxa"/>
              <w:bottom w:w="60" w:type="dxa"/>
              <w:left w:w="100" w:type="dxa"/>
              <w:right w:w="100" w:type="dxa"/>
            </w:tcMar>
          </w:tcPr>
          <w:p>
            <w:r>
              <w:rPr>
                <w:rFonts w:ascii="Calibri" w:hAnsi="Calibri"/>
                <w:sz w:val="18"/>
              </w:rPr>
              <w:t xml:space="preserve">Enterprise-grade but cost-prohibitive for most Philippine PUV cooperatives. 3-year lock-in incompatible with uncertain franchise consolidation timelines.</w:t>
            </w:r>
          </w:p>
        </w:tc>
      </w:tr>
    </w:tbl>
    <w:p/>
    <w:p>
      <w:pPr>
        <w:pStyle w:val="Heading1"/>
      </w:pPr>
      <w:r>
        <w:t>4. Arc Transit System - Feature Additions and Optimizations</w:t>
      </w:r>
    </w:p>
    <w:p>
      <w:pPr>
        <w:pStyle w:val="Heading2"/>
      </w:pPr>
      <w:r>
        <w:t>4.1 Modular Architecture (Spring Modulith)</w:t>
      </w:r>
    </w:p>
    <w:p>
      <w:pPr>
        <w:spacing w:after="120"/>
      </w:pPr>
      <w:r>
        <w:rPr>
          <w:rFonts w:ascii="Calibri" w:hAnsi="Calibri"/>
          <w:sz w:val="21"/>
        </w:rPr>
        <w:t xml:space="preserve">The entire system is organized as a Spring Modulith modular monolith with explicitly declared module boundaries enforced at compile time and verified through automated ModularityTests.</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Module</w:t>
            </w:r>
          </w:p>
        </w:tc>
        <w:tc>
          <w:tcPr>
            <w:shd w:val="clear" w:color="auto" w:fill="1F497D"/>
            <w:tcMar>
              <w:top w:w="60" w:type="dxa"/>
              <w:bottom w:w="60" w:type="dxa"/>
              <w:left w:w="100" w:type="dxa"/>
              <w:right w:w="100" w:type="dxa"/>
            </w:tcMar>
          </w:tcPr>
          <w:p>
            <w:r>
              <w:rPr>
                <w:rFonts w:ascii="Calibri" w:hAnsi="Calibri"/>
                <w:sz w:val="18"/>
                <w:b/>
                <w:color w:val="FFFFFF"/>
              </w:rPr>
              <w:t xml:space="preserve">Responsibility</w:t>
            </w:r>
          </w:p>
        </w:tc>
      </w:tr>
      <w:tr>
        <w:tc>
          <w:tcPr>
            <w:tcMar>
              <w:top w:w="60" w:type="dxa"/>
              <w:bottom w:w="60" w:type="dxa"/>
              <w:left w:w="100" w:type="dxa"/>
              <w:right w:w="100" w:type="dxa"/>
            </w:tcMar>
          </w:tcPr>
          <w:p>
            <w:r>
              <w:rPr>
                <w:rFonts w:ascii="Calibri" w:hAnsi="Calibri"/>
                <w:sz w:val="18"/>
              </w:rPr>
              <w:t xml:space="preserve">fleet</w:t>
            </w:r>
          </w:p>
        </w:tc>
        <w:tc>
          <w:tcPr>
            <w:tcMar>
              <w:top w:w="60" w:type="dxa"/>
              <w:bottom w:w="60" w:type="dxa"/>
              <w:left w:w="100" w:type="dxa"/>
              <w:right w:w="100" w:type="dxa"/>
            </w:tcMar>
          </w:tcPr>
          <w:p>
            <w:r>
              <w:rPr>
                <w:rFonts w:ascii="Calibri" w:hAnsi="Calibri"/>
                <w:sz w:val="18"/>
              </w:rPr>
              <w:t xml:space="preserve">Bus registration, operational status lifecycle (ACTIVE &gt; UNDER_MAINTENANCE &gt; OUT_OF_SERVICE &gt; DECOMMISSIONED)</w:t>
            </w:r>
          </w:p>
        </w:tc>
      </w:tr>
      <w:tr>
        <w:tc>
          <w:tcPr>
            <w:tcMar>
              <w:top w:w="60" w:type="dxa"/>
              <w:bottom w:w="60" w:type="dxa"/>
              <w:left w:w="100" w:type="dxa"/>
              <w:right w:w="100" w:type="dxa"/>
            </w:tcMar>
          </w:tcPr>
          <w:p>
            <w:r>
              <w:rPr>
                <w:rFonts w:ascii="Calibri" w:hAnsi="Calibri"/>
                <w:sz w:val="18"/>
              </w:rPr>
              <w:t xml:space="preserve">driver</w:t>
            </w:r>
          </w:p>
        </w:tc>
        <w:tc>
          <w:tcPr>
            <w:tcMar>
              <w:top w:w="60" w:type="dxa"/>
              <w:bottom w:w="60" w:type="dxa"/>
              <w:left w:w="100" w:type="dxa"/>
              <w:right w:w="100" w:type="dxa"/>
            </w:tcMar>
          </w:tcPr>
          <w:p>
            <w:r>
              <w:rPr>
                <w:rFonts w:ascii="Calibri" w:hAnsi="Calibri"/>
                <w:sz w:val="18"/>
              </w:rPr>
              <w:t xml:space="preserve">Driver identity, license tracking with dynamic expiry detection</w:t>
            </w:r>
          </w:p>
        </w:tc>
      </w:tr>
      <w:tr>
        <w:tc>
          <w:tcPr>
            <w:tcMar>
              <w:top w:w="60" w:type="dxa"/>
              <w:bottom w:w="60" w:type="dxa"/>
              <w:left w:w="100" w:type="dxa"/>
              <w:right w:w="100" w:type="dxa"/>
            </w:tcMar>
          </w:tcPr>
          <w:p>
            <w:r>
              <w:rPr>
                <w:rFonts w:ascii="Calibri" w:hAnsi="Calibri"/>
                <w:sz w:val="18"/>
              </w:rPr>
              <w:t xml:space="preserve">route</w:t>
            </w:r>
          </w:p>
        </w:tc>
        <w:tc>
          <w:tcPr>
            <w:tcMar>
              <w:top w:w="60" w:type="dxa"/>
              <w:bottom w:w="60" w:type="dxa"/>
              <w:left w:w="100" w:type="dxa"/>
              <w:right w:w="100" w:type="dxa"/>
            </w:tcMar>
          </w:tcPr>
          <w:p>
            <w:r>
              <w:rPr>
                <w:rFonts w:ascii="Calibri" w:hAnsi="Calibri"/>
                <w:sz w:val="18"/>
              </w:rPr>
              <w:t xml:space="preserve">Fixed routes with ordered parent-child stop management</w:t>
            </w:r>
          </w:p>
        </w:tc>
      </w:tr>
      <w:tr>
        <w:tc>
          <w:tcPr>
            <w:tcMar>
              <w:top w:w="60" w:type="dxa"/>
              <w:bottom w:w="60" w:type="dxa"/>
              <w:left w:w="100" w:type="dxa"/>
              <w:right w:w="100" w:type="dxa"/>
            </w:tcMar>
          </w:tcPr>
          <w:p>
            <w:r>
              <w:rPr>
                <w:rFonts w:ascii="Calibri" w:hAnsi="Calibri"/>
                <w:sz w:val="18"/>
              </w:rPr>
              <w:t xml:space="preserve">dispatch</w:t>
            </w:r>
          </w:p>
        </w:tc>
        <w:tc>
          <w:tcPr>
            <w:tcMar>
              <w:top w:w="60" w:type="dxa"/>
              <w:bottom w:w="60" w:type="dxa"/>
              <w:left w:w="100" w:type="dxa"/>
              <w:right w:w="100" w:type="dxa"/>
            </w:tcMar>
          </w:tcPr>
          <w:p>
            <w:r>
              <w:rPr>
                <w:rFonts w:ascii="Calibri" w:hAnsi="Calibri"/>
                <w:sz w:val="18"/>
              </w:rPr>
              <w:t xml:space="preserve">Vehicle/driver/route assignments with 5-step cross-module validation</w:t>
            </w:r>
          </w:p>
        </w:tc>
      </w:tr>
      <w:tr>
        <w:tc>
          <w:tcPr>
            <w:tcMar>
              <w:top w:w="60" w:type="dxa"/>
              <w:bottom w:w="60" w:type="dxa"/>
              <w:left w:w="100" w:type="dxa"/>
              <w:right w:w="100" w:type="dxa"/>
            </w:tcMar>
          </w:tcPr>
          <w:p>
            <w:r>
              <w:rPr>
                <w:rFonts w:ascii="Calibri" w:hAnsi="Calibri"/>
                <w:sz w:val="18"/>
              </w:rPr>
              <w:t xml:space="preserve">incident</w:t>
            </w:r>
          </w:p>
        </w:tc>
        <w:tc>
          <w:tcPr>
            <w:tcMar>
              <w:top w:w="60" w:type="dxa"/>
              <w:bottom w:w="60" w:type="dxa"/>
              <w:left w:w="100" w:type="dxa"/>
              <w:right w:w="100" w:type="dxa"/>
            </w:tcMar>
          </w:tcPr>
          <w:p>
            <w:r>
              <w:rPr>
                <w:rFonts w:ascii="Calibri" w:hAnsi="Calibri"/>
                <w:sz w:val="18"/>
              </w:rPr>
              <w:t xml:space="preserve">Operational incident reporting and severity classification</w:t>
            </w:r>
          </w:p>
        </w:tc>
      </w:tr>
      <w:tr>
        <w:tc>
          <w:tcPr>
            <w:tcMar>
              <w:top w:w="60" w:type="dxa"/>
              <w:bottom w:w="60" w:type="dxa"/>
              <w:left w:w="100" w:type="dxa"/>
              <w:right w:w="100" w:type="dxa"/>
            </w:tcMar>
          </w:tcPr>
          <w:p>
            <w:r>
              <w:rPr>
                <w:rFonts w:ascii="Calibri" w:hAnsi="Calibri"/>
                <w:sz w:val="18"/>
              </w:rPr>
              <w:t xml:space="preserve">maintenance</w:t>
            </w:r>
          </w:p>
        </w:tc>
        <w:tc>
          <w:tcPr>
            <w:tcMar>
              <w:top w:w="60" w:type="dxa"/>
              <w:bottom w:w="60" w:type="dxa"/>
              <w:left w:w="100" w:type="dxa"/>
              <w:right w:w="100" w:type="dxa"/>
            </w:tcMar>
          </w:tcPr>
          <w:p>
            <w:r>
              <w:rPr>
                <w:rFonts w:ascii="Calibri" w:hAnsi="Calibri"/>
                <w:sz w:val="18"/>
              </w:rPr>
              <w:t xml:space="preserve">State machine maintenance lifecycle (REQUESTED &gt; APPROVED &gt; IN_PROGRESS &gt; COMPLETED)</w:t>
            </w:r>
          </w:p>
        </w:tc>
      </w:tr>
      <w:tr>
        <w:tc>
          <w:tcPr>
            <w:tcMar>
              <w:top w:w="60" w:type="dxa"/>
              <w:bottom w:w="60" w:type="dxa"/>
              <w:left w:w="100" w:type="dxa"/>
              <w:right w:w="100" w:type="dxa"/>
            </w:tcMar>
          </w:tcPr>
          <w:p>
            <w:r>
              <w:rPr>
                <w:rFonts w:ascii="Calibri" w:hAnsi="Calibri"/>
                <w:sz w:val="18"/>
              </w:rPr>
              <w:t xml:space="preserve">reconciliation</w:t>
            </w:r>
          </w:p>
        </w:tc>
        <w:tc>
          <w:tcPr>
            <w:tcMar>
              <w:top w:w="60" w:type="dxa"/>
              <w:bottom w:w="60" w:type="dxa"/>
              <w:left w:w="100" w:type="dxa"/>
              <w:right w:w="100" w:type="dxa"/>
            </w:tcMar>
          </w:tcPr>
          <w:p>
            <w:r>
              <w:rPr>
                <w:rFonts w:ascii="Calibri" w:hAnsi="Calibri"/>
                <w:sz w:val="18"/>
              </w:rPr>
              <w:t xml:space="preserve">Automated anomaly detection engine with exception queue</w:t>
            </w:r>
          </w:p>
        </w:tc>
      </w:tr>
      <w:tr>
        <w:tc>
          <w:tcPr>
            <w:tcMar>
              <w:top w:w="60" w:type="dxa"/>
              <w:bottom w:w="60" w:type="dxa"/>
              <w:left w:w="100" w:type="dxa"/>
              <w:right w:w="100" w:type="dxa"/>
            </w:tcMar>
          </w:tcPr>
          <w:p>
            <w:r>
              <w:rPr>
                <w:rFonts w:ascii="Calibri" w:hAnsi="Calibri"/>
                <w:sz w:val="18"/>
              </w:rPr>
              <w:t xml:space="preserve">audit</w:t>
            </w:r>
          </w:p>
        </w:tc>
        <w:tc>
          <w:tcPr>
            <w:tcMar>
              <w:top w:w="60" w:type="dxa"/>
              <w:bottom w:w="60" w:type="dxa"/>
              <w:left w:w="100" w:type="dxa"/>
              <w:right w:w="100" w:type="dxa"/>
            </w:tcMar>
          </w:tcPr>
          <w:p>
            <w:r>
              <w:rPr>
                <w:rFonts w:ascii="Calibri" w:hAnsi="Calibri"/>
                <w:sz w:val="18"/>
              </w:rPr>
              <w:t xml:space="preserve">Append-only business action ledger with login event capture</w:t>
            </w:r>
          </w:p>
        </w:tc>
      </w:tr>
      <w:tr>
        <w:tc>
          <w:tcPr>
            <w:tcMar>
              <w:top w:w="60" w:type="dxa"/>
              <w:bottom w:w="60" w:type="dxa"/>
              <w:left w:w="100" w:type="dxa"/>
              <w:right w:w="100" w:type="dxa"/>
            </w:tcMar>
          </w:tcPr>
          <w:p>
            <w:r>
              <w:rPr>
                <w:rFonts w:ascii="Calibri" w:hAnsi="Calibri"/>
                <w:sz w:val="18"/>
              </w:rPr>
              <w:t xml:space="preserve">auth</w:t>
            </w:r>
          </w:p>
        </w:tc>
        <w:tc>
          <w:tcPr>
            <w:tcMar>
              <w:top w:w="60" w:type="dxa"/>
              <w:bottom w:w="60" w:type="dxa"/>
              <w:left w:w="100" w:type="dxa"/>
              <w:right w:w="100" w:type="dxa"/>
            </w:tcMar>
          </w:tcPr>
          <w:p>
            <w:r>
              <w:rPr>
                <w:rFonts w:ascii="Calibri" w:hAnsi="Calibri"/>
                <w:sz w:val="18"/>
              </w:rPr>
              <w:t xml:space="preserve">Role-based access control with BCrypt password hashing</w:t>
            </w:r>
          </w:p>
        </w:tc>
      </w:tr>
      <w:tr>
        <w:tc>
          <w:tcPr>
            <w:tcMar>
              <w:top w:w="60" w:type="dxa"/>
              <w:bottom w:w="60" w:type="dxa"/>
              <w:left w:w="100" w:type="dxa"/>
              <w:right w:w="100" w:type="dxa"/>
            </w:tcMar>
          </w:tcPr>
          <w:p>
            <w:r>
              <w:rPr>
                <w:rFonts w:ascii="Calibri" w:hAnsi="Calibri"/>
                <w:sz w:val="18"/>
              </w:rPr>
              <w:t xml:space="preserve">analytics</w:t>
            </w:r>
          </w:p>
        </w:tc>
        <w:tc>
          <w:tcPr>
            <w:tcMar>
              <w:top w:w="60" w:type="dxa"/>
              <w:bottom w:w="60" w:type="dxa"/>
              <w:left w:w="100" w:type="dxa"/>
              <w:right w:w="100" w:type="dxa"/>
            </w:tcMar>
          </w:tcPr>
          <w:p>
            <w:r>
              <w:rPr>
                <w:rFonts w:ascii="Calibri" w:hAnsi="Calibri"/>
                <w:sz w:val="18"/>
              </w:rPr>
              <w:t xml:space="preserve">Live operational dashboard with summary metrics</w:t>
            </w:r>
          </w:p>
        </w:tc>
      </w:tr>
    </w:tbl>
    <w:p/>
    <w:p>
      <w:pPr>
        <w:spacing w:after="120"/>
      </w:pPr>
      <w:r>
        <w:rPr>
          <w:rFonts w:ascii="Calibri" w:hAnsi="Calibri"/>
          <w:sz w:val="21"/>
        </w:rPr>
        <w:t xml:space="preserve">Why this matters vs. Geotab/Samsara: Commercial platforms are monolithic SaaS products where you pay for everything or nothing. Arc Transit's modular architecture means cooperatives can deploy only the modules they need without paying for enterprise features they will never use.</w:t>
      </w:r>
    </w:p>
    <w:p>
      <w:pPr>
        <w:pStyle w:val="Heading2"/>
      </w:pPr>
      <w:r>
        <w:t>4.2 Reconciliation Engine (Anomaly Detection)</w:t>
      </w:r>
    </w:p>
    <w:p>
      <w:pPr>
        <w:spacing w:after="120"/>
      </w:pPr>
      <w:r>
        <w:rPr>
          <w:rFonts w:ascii="Calibri" w:hAnsi="Calibri"/>
          <w:sz w:val="21"/>
        </w:rPr>
        <w:t xml:space="preserve">An automated reconciliation engine (AppReconciliationService) that scans the system for contradictory operational states:</w:t>
      </w:r>
    </w:p>
    <w:p>
      <w:pPr>
        <w:spacing w:after="40"/>
        <w:ind w:left="720" w:hanging="360"/>
      </w:pPr>
      <w:r>
        <w:rPr>
          <w:rFonts w:ascii="Symbol" w:hAnsi="Symbol"/>
          <w:sz w:val="21"/>
        </w:rPr>
        <w:t>·</w:t>
      </w:r>
      <w:r>
        <w:rPr>
          <w:rFonts w:ascii="Calibri" w:hAnsi="Calibri"/>
          <w:b/>
          <w:sz w:val="21"/>
        </w:rPr>
        <w:t xml:space="preserve"> Stuck Dispatches: </w:t>
      </w:r>
      <w:r>
        <w:rPr>
          <w:rFonts w:ascii="Calibri" w:hAnsi="Calibri"/>
          <w:sz w:val="21"/>
        </w:rPr>
        <w:t xml:space="preserve">Trips that remain IN_PROGRESS beyond a configurable threshold (default: 2 hours), indicating a potential safety concern or data entry error.</w:t>
      </w:r>
    </w:p>
    <w:p>
      <w:pPr>
        <w:spacing w:after="40"/>
        <w:ind w:left="720" w:hanging="360"/>
      </w:pPr>
      <w:r>
        <w:rPr>
          <w:rFonts w:ascii="Symbol" w:hAnsi="Symbol"/>
          <w:sz w:val="21"/>
        </w:rPr>
        <w:t>·</w:t>
      </w:r>
      <w:r>
        <w:rPr>
          <w:rFonts w:ascii="Calibri" w:hAnsi="Calibri"/>
          <w:b/>
          <w:sz w:val="21"/>
        </w:rPr>
        <w:t xml:space="preserve"> State Contradictions: </w:t>
      </w:r>
      <w:r>
        <w:rPr>
          <w:rFonts w:ascii="Calibri" w:hAnsi="Calibri"/>
          <w:sz w:val="21"/>
        </w:rPr>
        <w:t xml:space="preserve">Fleet units marked as ACTIVE while simultaneously having open maintenance records - an illegal state that indicates system desynchronization.</w:t>
      </w:r>
    </w:p>
    <w:p>
      <w:pPr>
        <w:spacing w:after="40"/>
        <w:ind w:left="720" w:hanging="360"/>
      </w:pPr>
      <w:r>
        <w:rPr>
          <w:rFonts w:ascii="Symbol" w:hAnsi="Symbol"/>
          <w:sz w:val="21"/>
        </w:rPr>
        <w:t>·</w:t>
      </w:r>
      <w:r>
        <w:rPr>
          <w:rFonts w:ascii="Calibri" w:hAnsi="Calibri"/>
          <w:b/>
          <w:sz w:val="21"/>
        </w:rPr>
        <w:t xml:space="preserve"> Exception Queue UI: </w:t>
      </w:r>
      <w:r>
        <w:rPr>
          <w:rFonts w:ascii="Calibri" w:hAnsi="Calibri"/>
          <w:sz w:val="21"/>
        </w:rPr>
        <w:t xml:space="preserve">A dedicated admin view with severity-based color coding (CRITICAL, HIGH, MEDIUM, LOW) and a full resolution workflow (OPEN &gt; ACKNOWLEDGED &gt; INVESTIGATING &gt; RESOLVED/DISMISSED).</w:t>
      </w:r>
    </w:p>
    <w:p>
      <w:pPr>
        <w:spacing w:after="120"/>
      </w:pPr>
      <w:r>
        <w:rPr>
          <w:rFonts w:ascii="Calibri" w:hAnsi="Calibri"/>
          <w:sz w:val="21"/>
        </w:rPr>
        <w:t xml:space="preserve">Neither Geotab nor Samsara offer built-in cross-module state contradiction detection. Their anomaly detection is limited to individual vehicle telemetry. Arc Transit's reconciliation engine operates at the system level, detecting contradictions between fleet status, maintenance records, and dispatch assignments.</w:t>
      </w:r>
    </w:p>
    <w:p>
      <w:pPr>
        <w:pStyle w:val="Heading2"/>
      </w:pPr>
      <w:r>
        <w:t>4.3 Experiment Harness (Scenario Generator)</w:t>
      </w:r>
    </w:p>
    <w:p>
      <w:pPr>
        <w:spacing w:after="120"/>
      </w:pPr>
      <w:r>
        <w:rPr>
          <w:rFonts w:ascii="Calibri" w:hAnsi="Calibri"/>
          <w:sz w:val="21"/>
        </w:rPr>
        <w:t xml:space="preserve">A ScenarioGeneratorService that injects reproducible anomalies for QA testing:</w:t>
      </w:r>
    </w:p>
    <w:p>
      <w:pPr>
        <w:spacing w:after="40"/>
        <w:ind w:left="720" w:hanging="360"/>
      </w:pPr>
      <w:r>
        <w:rPr>
          <w:rFonts w:ascii="Symbol" w:hAnsi="Symbol"/>
          <w:sz w:val="21"/>
        </w:rPr>
        <w:t>·</w:t>
      </w:r>
      <w:r>
        <w:rPr>
          <w:rFonts w:ascii="Calibri" w:hAnsi="Calibri"/>
          <w:sz w:val="21"/>
        </w:rPr>
        <w:t xml:space="preserve"> generateContradictionScenario() - Creates an active fleet unit with active maintenance (illegal state).</w:t>
      </w:r>
    </w:p>
    <w:p>
      <w:pPr>
        <w:spacing w:after="40"/>
        <w:ind w:left="720" w:hanging="360"/>
      </w:pPr>
      <w:r>
        <w:rPr>
          <w:rFonts w:ascii="Symbol" w:hAnsi="Symbol"/>
          <w:sz w:val="21"/>
        </w:rPr>
        <w:t>·</w:t>
      </w:r>
      <w:r>
        <w:rPr>
          <w:rFonts w:ascii="Calibri" w:hAnsi="Calibri"/>
          <w:sz w:val="21"/>
        </w:rPr>
        <w:t xml:space="preserve"> generateStaleDispatchScenario() - Creates a dispatch stuck in IN_PROGRESS with a departure time 2+ hours in the past.</w:t>
      </w:r>
    </w:p>
    <w:p>
      <w:pPr>
        <w:spacing w:after="40"/>
        <w:ind w:left="720" w:hanging="360"/>
      </w:pPr>
      <w:r>
        <w:rPr>
          <w:rFonts w:ascii="Symbol" w:hAnsi="Symbol"/>
          <w:sz w:val="21"/>
        </w:rPr>
        <w:t>·</w:t>
      </w:r>
      <w:r>
        <w:rPr>
          <w:rFonts w:ascii="Calibri" w:hAnsi="Calibri"/>
          <w:sz w:val="21"/>
        </w:rPr>
        <w:t xml:space="preserve"> generateIncidentScenario() - Creates an incident report against an active fleet unit.</w:t>
      </w:r>
    </w:p>
    <w:p>
      <w:pPr>
        <w:spacing w:after="120"/>
      </w:pPr>
      <w:r>
        <w:rPr>
          <w:rFonts w:ascii="Calibri" w:hAnsi="Calibri"/>
          <w:sz w:val="21"/>
        </w:rPr>
        <w:t xml:space="preserve">This enables operators to validate the reconciliation engine without waiting for real operational failures. Commercial platforms do not provide controlled testing environments for anomaly detection.</w:t>
      </w:r>
    </w:p>
    <w:p>
      <w:pPr>
        <w:pStyle w:val="Heading2"/>
      </w:pPr>
      <w:r>
        <w:t>4.4 Maintenance State Machine</w:t>
      </w:r>
    </w:p>
    <w:p>
      <w:pPr>
        <w:spacing w:after="120"/>
      </w:pPr>
      <w:r>
        <w:rPr>
          <w:rFonts w:ascii="Calibri" w:hAnsi="Calibri"/>
          <w:sz w:val="21"/>
        </w:rPr>
        <w:t xml:space="preserve">A full lifecycle state machine for maintenance records integrated with fleet status: REQUESTED &gt; APPROVED &gt; IN_PROGRESS &gt; COMPLETED (or CANCELLED).</w:t>
      </w:r>
    </w:p>
    <w:p>
      <w:pPr>
        <w:spacing w:after="120"/>
      </w:pPr>
      <w:r>
        <w:rPr>
          <w:rFonts w:ascii="Calibri" w:hAnsi="Calibri"/>
          <w:sz w:val="21"/>
        </w:rPr>
        <w:t xml:space="preserve">When maintenance transitions to IN_PROGRESS, the associated fleet unit is automatically moved to UNDER_MAINTENANCE status, preventing it from being dispatched. When maintenance is completed, the unit returns to ACTIVE.</w:t>
      </w:r>
    </w:p>
    <w:p>
      <w:pPr>
        <w:spacing w:after="120"/>
      </w:pPr>
      <w:r>
        <w:rPr>
          <w:rFonts w:ascii="Calibri" w:hAnsi="Calibri"/>
          <w:sz w:val="21"/>
        </w:rPr>
        <w:t xml:space="preserve">Geotab and Samsara offer preventive maintenance alerts based on engine diagnostics but do not enforce maintenance workflows or automatically update fleet availability. Arc Transit's tight integration prevents the dangerous scenario where a bus under repair is accidentally dispatched.</w:t>
      </w:r>
    </w:p>
    <w:p>
      <w:pPr>
        <w:pStyle w:val="Heading2"/>
      </w:pPr>
      <w:r>
        <w:t>4.5 Cross-Module Dispatch Validation</w:t>
      </w:r>
    </w:p>
    <w:p>
      <w:pPr>
        <w:spacing w:after="120"/>
      </w:pPr>
      <w:r>
        <w:rPr>
          <w:rFonts w:ascii="Calibri" w:hAnsi="Calibri"/>
          <w:sz w:val="21"/>
        </w:rPr>
        <w:t xml:space="preserve">A 5-step validation chain in AppDispatchService that runs before any dispatch assignment is created:</w:t>
      </w:r>
    </w:p>
    <w:p>
      <w:pPr>
        <w:spacing w:after="40"/>
        <w:ind w:left="720" w:hanging="360"/>
      </w:pPr>
      <w:r>
        <w:rPr>
          <w:rFonts w:ascii="Symbol" w:hAnsi="Symbol"/>
          <w:sz w:val="21"/>
        </w:rPr>
        <w:t>·</w:t>
      </w:r>
      <w:r>
        <w:rPr>
          <w:rFonts w:ascii="Calibri" w:hAnsi="Calibri"/>
          <w:sz w:val="21"/>
        </w:rPr>
        <w:t xml:space="preserve"> Fleet unit must be ACTIVE (not under maintenance, decommissioned, or archived)</w:t>
      </w:r>
    </w:p>
    <w:p>
      <w:pPr>
        <w:spacing w:after="40"/>
        <w:ind w:left="720" w:hanging="360"/>
      </w:pPr>
      <w:r>
        <w:rPr>
          <w:rFonts w:ascii="Symbol" w:hAnsi="Symbol"/>
          <w:sz w:val="21"/>
        </w:rPr>
        <w:t>·</w:t>
      </w:r>
      <w:r>
        <w:rPr>
          <w:rFonts w:ascii="Calibri" w:hAnsi="Calibri"/>
          <w:sz w:val="21"/>
        </w:rPr>
        <w:t xml:space="preserve"> Driver must be ACTIVE with a non-expired license</w:t>
      </w:r>
    </w:p>
    <w:p>
      <w:pPr>
        <w:spacing w:after="40"/>
        <w:ind w:left="720" w:hanging="360"/>
      </w:pPr>
      <w:r>
        <w:rPr>
          <w:rFonts w:ascii="Symbol" w:hAnsi="Symbol"/>
          <w:sz w:val="21"/>
        </w:rPr>
        <w:t>·</w:t>
      </w:r>
      <w:r>
        <w:rPr>
          <w:rFonts w:ascii="Calibri" w:hAnsi="Calibri"/>
          <w:sz w:val="21"/>
        </w:rPr>
        <w:t xml:space="preserve"> Route must be ACTIVE</w:t>
      </w:r>
    </w:p>
    <w:p>
      <w:pPr>
        <w:spacing w:after="40"/>
        <w:ind w:left="720" w:hanging="360"/>
      </w:pPr>
      <w:r>
        <w:rPr>
          <w:rFonts w:ascii="Symbol" w:hAnsi="Symbol"/>
          <w:sz w:val="21"/>
        </w:rPr>
        <w:t>·</w:t>
      </w:r>
      <w:r>
        <w:rPr>
          <w:rFonts w:ascii="Calibri" w:hAnsi="Calibri"/>
          <w:sz w:val="21"/>
        </w:rPr>
        <w:t xml:space="preserve"> No bus overlap (same bus cannot be assigned to two trips at the same time)</w:t>
      </w:r>
    </w:p>
    <w:p>
      <w:pPr>
        <w:spacing w:after="40"/>
        <w:ind w:left="720" w:hanging="360"/>
      </w:pPr>
      <w:r>
        <w:rPr>
          <w:rFonts w:ascii="Symbol" w:hAnsi="Symbol"/>
          <w:sz w:val="21"/>
        </w:rPr>
        <w:t>·</w:t>
      </w:r>
      <w:r>
        <w:rPr>
          <w:rFonts w:ascii="Calibri" w:hAnsi="Calibri"/>
          <w:sz w:val="21"/>
        </w:rPr>
        <w:t xml:space="preserve"> No driver overlap (same driver cannot be assigned to two trips at the same time)</w:t>
      </w:r>
    </w:p>
    <w:p>
      <w:pPr>
        <w:spacing w:after="120"/>
      </w:pPr>
      <w:r>
        <w:rPr>
          <w:rFonts w:ascii="Calibri" w:hAnsi="Calibri"/>
          <w:sz w:val="21"/>
        </w:rPr>
        <w:t xml:space="preserve">This prevents double-booking - a common operational error in Philippine transit where dispatchers manage assignments manually. Neither Geotab nor Samsara provide dispatch assignment validation because they are tracking platforms, not operations management systems.</w:t>
      </w:r>
    </w:p>
    <w:p>
      <w:pPr>
        <w:pStyle w:val="Heading2"/>
      </w:pPr>
      <w:r>
        <w:t>4.6 Role-Based Security with Admin Safeguards</w:t>
      </w:r>
    </w:p>
    <w:p>
      <w:pPr>
        <w:spacing w:after="40"/>
        <w:ind w:left="720" w:hanging="360"/>
      </w:pPr>
      <w:r>
        <w:rPr>
          <w:rFonts w:ascii="Symbol" w:hAnsi="Symbol"/>
          <w:sz w:val="21"/>
        </w:rPr>
        <w:t>·</w:t>
      </w:r>
      <w:r>
        <w:rPr>
          <w:rFonts w:ascii="Calibri" w:hAnsi="Calibri"/>
          <w:sz w:val="21"/>
        </w:rPr>
        <w:t xml:space="preserve"> Two-tier role system: SYSTEM_ADMIN (full access) and OPERATIONS_STAFF (limited to Dashboard and Dispatch views).</w:t>
      </w:r>
    </w:p>
    <w:p>
      <w:pPr>
        <w:spacing w:after="40"/>
        <w:ind w:left="720" w:hanging="360"/>
      </w:pPr>
      <w:r>
        <w:rPr>
          <w:rFonts w:ascii="Symbol" w:hAnsi="Symbol"/>
          <w:sz w:val="21"/>
        </w:rPr>
        <w:t>·</w:t>
      </w:r>
      <w:r>
        <w:rPr>
          <w:rFonts w:ascii="Calibri" w:hAnsi="Calibri"/>
          <w:sz w:val="21"/>
        </w:rPr>
        <w:t xml:space="preserve"> Spring Security @PreAuthorize method-level authorization on all service methods.</w:t>
      </w:r>
    </w:p>
    <w:p>
      <w:pPr>
        <w:spacing w:after="40"/>
        <w:ind w:left="720" w:hanging="360"/>
      </w:pPr>
      <w:r>
        <w:rPr>
          <w:rFonts w:ascii="Symbol" w:hAnsi="Symbol"/>
          <w:sz w:val="21"/>
        </w:rPr>
        <w:t>·</w:t>
      </w:r>
      <w:r>
        <w:rPr>
          <w:rFonts w:ascii="Calibri" w:hAnsi="Calibri"/>
          <w:sz w:val="21"/>
        </w:rPr>
        <w:t xml:space="preserve"> @RolesAllowed view-level authorization on all Vaadin UI views.</w:t>
      </w:r>
    </w:p>
    <w:p>
      <w:pPr>
        <w:spacing w:after="40"/>
        <w:ind w:left="720" w:hanging="360"/>
      </w:pPr>
      <w:r>
        <w:rPr>
          <w:rFonts w:ascii="Symbol" w:hAnsi="Symbol"/>
          <w:sz w:val="21"/>
        </w:rPr>
        <w:t>·</w:t>
      </w:r>
      <w:r>
        <w:rPr>
          <w:rFonts w:ascii="Calibri" w:hAnsi="Calibri"/>
          <w:sz w:val="21"/>
        </w:rPr>
        <w:t xml:space="preserve"> Master admin protection: The last remaining SYSTEM_ADMIN account cannot be deleted. Only the default admin account can delete other admin accounts.</w:t>
      </w:r>
    </w:p>
    <w:p>
      <w:pPr>
        <w:spacing w:after="40"/>
        <w:ind w:left="720" w:hanging="360"/>
      </w:pPr>
      <w:r>
        <w:rPr>
          <w:rFonts w:ascii="Symbol" w:hAnsi="Symbol"/>
          <w:sz w:val="21"/>
        </w:rPr>
        <w:t>·</w:t>
      </w:r>
      <w:r>
        <w:rPr>
          <w:rFonts w:ascii="Calibri" w:hAnsi="Calibri"/>
          <w:sz w:val="21"/>
        </w:rPr>
        <w:t xml:space="preserve"> Append-only audit logging of all login attempts (success and failure) and business actions.</w:t>
      </w:r>
    </w:p>
    <w:p>
      <w:pPr>
        <w:spacing w:after="120"/>
      </w:pPr>
      <w:r>
        <w:rPr>
          <w:rFonts w:ascii="Calibri" w:hAnsi="Calibri"/>
          <w:sz w:val="21"/>
        </w:rPr>
        <w:t xml:space="preserve">Arc Transit's security model is specifically designed for the Philippine cooperative structure where multiple administrators may need access but must be prevented from accidentally (or maliciously) locking each other out.</w:t>
      </w:r>
    </w:p>
    <w:p>
      <w:pPr>
        <w:pStyle w:val="Heading2"/>
      </w:pPr>
      <w:r>
        <w:t>4.7 Zero Hardware Dependency</w:t>
      </w:r>
    </w:p>
    <w:p>
      <w:pPr>
        <w:spacing w:after="120"/>
      </w:pPr>
      <w:r>
        <w:rPr>
          <w:rFonts w:ascii="Calibri" w:hAnsi="Calibri"/>
          <w:sz w:val="21"/>
        </w:rPr>
        <w:t xml:space="preserve">A fully browser-based system accessible from any device with a web browser. No proprietary hardware, no GPS dongles, no dashcams required for core operations.</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Requirement</w:t>
            </w:r>
          </w:p>
        </w:tc>
        <w:tc>
          <w:tcPr>
            <w:shd w:val="clear" w:color="auto" w:fill="1F497D"/>
            <w:tcMar>
              <w:top w:w="60" w:type="dxa"/>
              <w:bottom w:w="60" w:type="dxa"/>
              <w:left w:w="100" w:type="dxa"/>
              <w:right w:w="100" w:type="dxa"/>
            </w:tcMar>
          </w:tcPr>
          <w:p>
            <w:r>
              <w:rPr>
                <w:rFonts w:ascii="Calibri" w:hAnsi="Calibri"/>
                <w:sz w:val="18"/>
                <w:b/>
                <w:color w:val="FFFFFF"/>
              </w:rPr>
              <w:t xml:space="preserve">Geotab</w:t>
            </w:r>
          </w:p>
        </w:tc>
        <w:tc>
          <w:tcPr>
            <w:shd w:val="clear" w:color="auto" w:fill="1F497D"/>
            <w:tcMar>
              <w:top w:w="60" w:type="dxa"/>
              <w:bottom w:w="60" w:type="dxa"/>
              <w:left w:w="100" w:type="dxa"/>
              <w:right w:w="100" w:type="dxa"/>
            </w:tcMar>
          </w:tcPr>
          <w:p>
            <w:r>
              <w:rPr>
                <w:rFonts w:ascii="Calibri" w:hAnsi="Calibri"/>
                <w:sz w:val="18"/>
                <w:b/>
                <w:color w:val="FFFFFF"/>
              </w:rPr>
              <w:t xml:space="preserve">Samsara</w:t>
            </w:r>
          </w:p>
        </w:tc>
        <w:tc>
          <w:tcPr>
            <w:shd w:val="clear" w:color="auto" w:fill="1F497D"/>
            <w:tcMar>
              <w:top w:w="60" w:type="dxa"/>
              <w:bottom w:w="60" w:type="dxa"/>
              <w:left w:w="100" w:type="dxa"/>
              <w:right w:w="100" w:type="dxa"/>
            </w:tcMar>
          </w:tcPr>
          <w:p>
            <w:r>
              <w:rPr>
                <w:rFonts w:ascii="Calibri" w:hAnsi="Calibri"/>
                <w:sz w:val="18"/>
                <w:b/>
                <w:color w:val="FFFFFF"/>
              </w:rPr>
              <w:t xml:space="preserve">Arc Transit</w:t>
            </w:r>
          </w:p>
        </w:tc>
      </w:tr>
      <w:tr>
        <w:tc>
          <w:tcPr>
            <w:tcMar>
              <w:top w:w="60" w:type="dxa"/>
              <w:bottom w:w="60" w:type="dxa"/>
              <w:left w:w="100" w:type="dxa"/>
              <w:right w:w="100" w:type="dxa"/>
            </w:tcMar>
          </w:tcPr>
          <w:p>
            <w:r>
              <w:rPr>
                <w:rFonts w:ascii="Calibri" w:hAnsi="Calibri"/>
                <w:sz w:val="18"/>
              </w:rPr>
              <w:t xml:space="preserve">Proprietary GPS Hardware</w:t>
            </w:r>
          </w:p>
        </w:tc>
        <w:tc>
          <w:tcPr>
            <w:tcMar>
              <w:top w:w="60" w:type="dxa"/>
              <w:bottom w:w="60" w:type="dxa"/>
              <w:left w:w="100" w:type="dxa"/>
              <w:right w:w="100" w:type="dxa"/>
            </w:tcMar>
          </w:tcPr>
          <w:p>
            <w:r>
              <w:rPr>
                <w:rFonts w:ascii="Calibri" w:hAnsi="Calibri"/>
                <w:sz w:val="18"/>
              </w:rPr>
              <w:t xml:space="preserve">Required (GO9)</w:t>
            </w:r>
          </w:p>
        </w:tc>
        <w:tc>
          <w:tcPr>
            <w:tcMar>
              <w:top w:w="60" w:type="dxa"/>
              <w:bottom w:w="60" w:type="dxa"/>
              <w:left w:w="100" w:type="dxa"/>
              <w:right w:w="100" w:type="dxa"/>
            </w:tcMar>
          </w:tcPr>
          <w:p>
            <w:r>
              <w:rPr>
                <w:rFonts w:ascii="Calibri" w:hAnsi="Calibri"/>
                <w:sz w:val="18"/>
              </w:rPr>
              <w:t xml:space="preserve">Required (VG54/AG46)</w:t>
            </w:r>
          </w:p>
        </w:tc>
        <w:tc>
          <w:tcPr>
            <w:tcMar>
              <w:top w:w="60" w:type="dxa"/>
              <w:bottom w:w="60" w:type="dxa"/>
              <w:left w:w="100" w:type="dxa"/>
              <w:right w:w="100" w:type="dxa"/>
            </w:tcMar>
          </w:tcPr>
          <w:p>
            <w:r>
              <w:rPr>
                <w:rFonts w:ascii="Calibri" w:hAnsi="Calibri"/>
                <w:sz w:val="18"/>
              </w:rPr>
              <w:t xml:space="preserve">Not Required</w:t>
            </w:r>
          </w:p>
        </w:tc>
      </w:tr>
      <w:tr>
        <w:tc>
          <w:tcPr>
            <w:tcMar>
              <w:top w:w="60" w:type="dxa"/>
              <w:bottom w:w="60" w:type="dxa"/>
              <w:left w:w="100" w:type="dxa"/>
              <w:right w:w="100" w:type="dxa"/>
            </w:tcMar>
          </w:tcPr>
          <w:p>
            <w:r>
              <w:rPr>
                <w:rFonts w:ascii="Calibri" w:hAnsi="Calibri"/>
                <w:sz w:val="18"/>
              </w:rPr>
              <w:t xml:space="preserve">Monthly Per-Vehicle Fee</w:t>
            </w:r>
          </w:p>
        </w:tc>
        <w:tc>
          <w:tcPr>
            <w:tcMar>
              <w:top w:w="60" w:type="dxa"/>
              <w:bottom w:w="60" w:type="dxa"/>
              <w:left w:w="100" w:type="dxa"/>
              <w:right w:w="100" w:type="dxa"/>
            </w:tcMar>
          </w:tcPr>
          <w:p>
            <w:r>
              <w:rPr>
                <w:rFonts w:ascii="Calibri" w:hAnsi="Calibri"/>
                <w:sz w:val="18"/>
              </w:rPr>
              <w:t xml:space="preserve">$5-$20+</w:t>
            </w:r>
          </w:p>
        </w:tc>
        <w:tc>
          <w:tcPr>
            <w:tcMar>
              <w:top w:w="60" w:type="dxa"/>
              <w:bottom w:w="60" w:type="dxa"/>
              <w:left w:w="100" w:type="dxa"/>
              <w:right w:w="100" w:type="dxa"/>
            </w:tcMar>
          </w:tcPr>
          <w:p>
            <w:r>
              <w:rPr>
                <w:rFonts w:ascii="Calibri" w:hAnsi="Calibri"/>
                <w:sz w:val="18"/>
              </w:rPr>
              <w:t xml:space="preserve">$27-$60</w:t>
            </w:r>
          </w:p>
        </w:tc>
        <w:tc>
          <w:tcPr>
            <w:tcMar>
              <w:top w:w="60" w:type="dxa"/>
              <w:bottom w:w="60" w:type="dxa"/>
              <w:left w:w="100" w:type="dxa"/>
              <w:right w:w="100" w:type="dxa"/>
            </w:tcMar>
          </w:tcPr>
          <w:p>
            <w:r>
              <w:rPr>
                <w:rFonts w:ascii="Calibri" w:hAnsi="Calibri"/>
                <w:sz w:val="18"/>
              </w:rPr>
              <w:t xml:space="preserve">PHP 0 (self-hosted)</w:t>
            </w:r>
          </w:p>
        </w:tc>
      </w:tr>
      <w:tr>
        <w:tc>
          <w:tcPr>
            <w:tcMar>
              <w:top w:w="60" w:type="dxa"/>
              <w:bottom w:w="60" w:type="dxa"/>
              <w:left w:w="100" w:type="dxa"/>
              <w:right w:w="100" w:type="dxa"/>
            </w:tcMar>
          </w:tcPr>
          <w:p>
            <w:r>
              <w:rPr>
                <w:rFonts w:ascii="Calibri" w:hAnsi="Calibri"/>
                <w:sz w:val="18"/>
              </w:rPr>
              <w:t xml:space="preserve">Minimum Contract</w:t>
            </w:r>
          </w:p>
        </w:tc>
        <w:tc>
          <w:tcPr>
            <w:tcMar>
              <w:top w:w="60" w:type="dxa"/>
              <w:bottom w:w="60" w:type="dxa"/>
              <w:left w:w="100" w:type="dxa"/>
              <w:right w:w="100" w:type="dxa"/>
            </w:tcMar>
          </w:tcPr>
          <w:p>
            <w:r>
              <w:rPr>
                <w:rFonts w:ascii="Calibri" w:hAnsi="Calibri"/>
                <w:sz w:val="18"/>
              </w:rPr>
              <w:t xml:space="preserve">Varies</w:t>
            </w:r>
          </w:p>
        </w:tc>
        <w:tc>
          <w:tcPr>
            <w:tcMar>
              <w:top w:w="60" w:type="dxa"/>
              <w:bottom w:w="60" w:type="dxa"/>
              <w:left w:w="100" w:type="dxa"/>
              <w:right w:w="100" w:type="dxa"/>
            </w:tcMar>
          </w:tcPr>
          <w:p>
            <w:r>
              <w:rPr>
                <w:rFonts w:ascii="Calibri" w:hAnsi="Calibri"/>
                <w:sz w:val="18"/>
              </w:rPr>
              <w:t xml:space="preserve">3 years</w:t>
            </w:r>
          </w:p>
        </w:tc>
        <w:tc>
          <w:tcPr>
            <w:tcMar>
              <w:top w:w="60" w:type="dxa"/>
              <w:bottom w:w="60" w:type="dxa"/>
              <w:left w:w="100" w:type="dxa"/>
              <w:right w:w="100" w:type="dxa"/>
            </w:tcMar>
          </w:tcPr>
          <w:p>
            <w:r>
              <w:rPr>
                <w:rFonts w:ascii="Calibri" w:hAnsi="Calibri"/>
                <w:sz w:val="18"/>
              </w:rPr>
              <w:t xml:space="preserve">None</w:t>
            </w:r>
          </w:p>
        </w:tc>
      </w:tr>
      <w:tr>
        <w:tc>
          <w:tcPr>
            <w:tcMar>
              <w:top w:w="60" w:type="dxa"/>
              <w:bottom w:w="60" w:type="dxa"/>
              <w:left w:w="100" w:type="dxa"/>
              <w:right w:w="100" w:type="dxa"/>
            </w:tcMar>
          </w:tcPr>
          <w:p>
            <w:r>
              <w:rPr>
                <w:rFonts w:ascii="Calibri" w:hAnsi="Calibri"/>
                <w:sz w:val="18"/>
              </w:rPr>
              <w:t xml:space="preserve">Internet Required</w:t>
            </w:r>
          </w:p>
        </w:tc>
        <w:tc>
          <w:tcPr>
            <w:tcMar>
              <w:top w:w="60" w:type="dxa"/>
              <w:bottom w:w="60" w:type="dxa"/>
              <w:left w:w="100" w:type="dxa"/>
              <w:right w:w="100" w:type="dxa"/>
            </w:tcMar>
          </w:tcPr>
          <w:p>
            <w:r>
              <w:rPr>
                <w:rFonts w:ascii="Calibri" w:hAnsi="Calibri"/>
                <w:sz w:val="18"/>
              </w:rPr>
              <w:t xml:space="preserve">Always (cloud-only)</w:t>
            </w:r>
          </w:p>
        </w:tc>
        <w:tc>
          <w:tcPr>
            <w:tcMar>
              <w:top w:w="60" w:type="dxa"/>
              <w:bottom w:w="60" w:type="dxa"/>
              <w:left w:w="100" w:type="dxa"/>
              <w:right w:w="100" w:type="dxa"/>
            </w:tcMar>
          </w:tcPr>
          <w:p>
            <w:r>
              <w:rPr>
                <w:rFonts w:ascii="Calibri" w:hAnsi="Calibri"/>
                <w:sz w:val="18"/>
              </w:rPr>
              <w:t xml:space="preserve">Always (cloud-only)</w:t>
            </w:r>
          </w:p>
        </w:tc>
        <w:tc>
          <w:tcPr>
            <w:tcMar>
              <w:top w:w="60" w:type="dxa"/>
              <w:bottom w:w="60" w:type="dxa"/>
              <w:left w:w="100" w:type="dxa"/>
              <w:right w:w="100" w:type="dxa"/>
            </w:tcMar>
          </w:tcPr>
          <w:p>
            <w:r>
              <w:rPr>
                <w:rFonts w:ascii="Calibri" w:hAnsi="Calibri"/>
                <w:sz w:val="18"/>
              </w:rPr>
              <w:t xml:space="preserve">Only during use (self-hosted DB)</w:t>
            </w:r>
          </w:p>
        </w:tc>
      </w:tr>
      <w:tr>
        <w:tc>
          <w:tcPr>
            <w:tcMar>
              <w:top w:w="60" w:type="dxa"/>
              <w:bottom w:w="60" w:type="dxa"/>
              <w:left w:w="100" w:type="dxa"/>
              <w:right w:w="100" w:type="dxa"/>
            </w:tcMar>
          </w:tcPr>
          <w:p>
            <w:r>
              <w:rPr>
                <w:rFonts w:ascii="Calibri" w:hAnsi="Calibri"/>
                <w:sz w:val="18"/>
              </w:rPr>
              <w:t xml:space="preserve">Offline Capability</w:t>
            </w:r>
          </w:p>
        </w:tc>
        <w:tc>
          <w:tcPr>
            <w:tcMar>
              <w:top w:w="60" w:type="dxa"/>
              <w:bottom w:w="60" w:type="dxa"/>
              <w:left w:w="100" w:type="dxa"/>
              <w:right w:w="100" w:type="dxa"/>
            </w:tcMar>
          </w:tcPr>
          <w:p>
            <w:r>
              <w:rPr>
                <w:rFonts w:ascii="Calibri" w:hAnsi="Calibri"/>
                <w:sz w:val="18"/>
              </w:rPr>
              <w:t xml:space="preserve">Limited</w:t>
            </w:r>
          </w:p>
        </w:tc>
        <w:tc>
          <w:tcPr>
            <w:tcMar>
              <w:top w:w="60" w:type="dxa"/>
              <w:bottom w:w="60" w:type="dxa"/>
              <w:left w:w="100" w:type="dxa"/>
              <w:right w:w="100" w:type="dxa"/>
            </w:tcMar>
          </w:tcPr>
          <w:p>
            <w:r>
              <w:rPr>
                <w:rFonts w:ascii="Calibri" w:hAnsi="Calibri"/>
                <w:sz w:val="18"/>
              </w:rPr>
              <w:t xml:space="preserve">Limited</w:t>
            </w:r>
          </w:p>
        </w:tc>
        <w:tc>
          <w:tcPr>
            <w:tcMar>
              <w:top w:w="60" w:type="dxa"/>
              <w:bottom w:w="60" w:type="dxa"/>
              <w:left w:w="100" w:type="dxa"/>
              <w:right w:w="100" w:type="dxa"/>
            </w:tcMar>
          </w:tcPr>
          <w:p>
            <w:r>
              <w:rPr>
                <w:rFonts w:ascii="Calibri" w:hAnsi="Calibri"/>
                <w:sz w:val="18"/>
              </w:rPr>
              <w:t xml:space="preserve">Full (local PostgreSQL)</w:t>
            </w:r>
          </w:p>
        </w:tc>
      </w:tr>
    </w:tbl>
    <w:p/>
    <w:p>
      <w:pPr>
        <w:spacing w:after="120"/>
      </w:pPr>
      <w:r>
        <w:rPr>
          <w:rFonts w:ascii="Calibri" w:hAnsi="Calibri"/>
          <w:sz w:val="21"/>
        </w:rPr>
        <w:t xml:space="preserve">For a 30-bus cooperative, Samsara costs a minimum of PHP 45,000-100,000+/month in subscriptions alone. Arc Transit runs on a single server with PostgreSQL - total infrastructure cost is effectively zero beyond the server itself.</w:t>
      </w:r>
    </w:p>
    <w:p>
      <w:pPr>
        <w:pStyle w:val="Heading2"/>
      </w:pPr>
      <w:r>
        <w:t>4.8 Java 21 Performance Optimizations</w:t>
      </w:r>
    </w:p>
    <w:p>
      <w:pPr>
        <w:spacing w:after="40"/>
        <w:ind w:left="720" w:hanging="360"/>
      </w:pPr>
      <w:r>
        <w:rPr>
          <w:rFonts w:ascii="Symbol" w:hAnsi="Symbol"/>
          <w:sz w:val="21"/>
        </w:rPr>
        <w:t>·</w:t>
      </w:r>
      <w:r>
        <w:rPr>
          <w:rFonts w:ascii="Calibri" w:hAnsi="Calibri"/>
          <w:b/>
          <w:sz w:val="21"/>
        </w:rPr>
        <w:t xml:space="preserve"> Virtual Threads (Project Loom): </w:t>
      </w:r>
      <w:r>
        <w:rPr>
          <w:rFonts w:ascii="Calibri" w:hAnsi="Calibri"/>
          <w:sz w:val="21"/>
        </w:rPr>
        <w:t xml:space="preserve">spring.threads.virtual.enabled=true - enables lightweight virtual threads for all request handling, dramatically improving concurrent user capacity without increasing memory overhead.</w:t>
      </w:r>
    </w:p>
    <w:p>
      <w:pPr>
        <w:spacing w:after="40"/>
        <w:ind w:left="720" w:hanging="360"/>
      </w:pPr>
      <w:r>
        <w:rPr>
          <w:rFonts w:ascii="Symbol" w:hAnsi="Symbol"/>
          <w:sz w:val="21"/>
        </w:rPr>
        <w:t>·</w:t>
      </w:r>
      <w:r>
        <w:rPr>
          <w:rFonts w:ascii="Calibri" w:hAnsi="Calibri"/>
          <w:b/>
          <w:sz w:val="21"/>
        </w:rPr>
        <w:t xml:space="preserve"> HikariCP Connection Pool Tuning: </w:t>
      </w:r>
      <w:r>
        <w:rPr>
          <w:rFonts w:ascii="Calibri" w:hAnsi="Calibri"/>
          <w:sz w:val="21"/>
        </w:rPr>
        <w:t xml:space="preserve">Optimized pool size (10 max, 5 min idle) with aggressive timeout settings for resource-constrained environments.</w:t>
      </w:r>
    </w:p>
    <w:p>
      <w:pPr>
        <w:spacing w:after="40"/>
        <w:ind w:left="720" w:hanging="360"/>
      </w:pPr>
      <w:r>
        <w:rPr>
          <w:rFonts w:ascii="Symbol" w:hAnsi="Symbol"/>
          <w:sz w:val="21"/>
        </w:rPr>
        <w:t>·</w:t>
      </w:r>
      <w:r>
        <w:rPr>
          <w:rFonts w:ascii="Calibri" w:hAnsi="Calibri"/>
          <w:b/>
          <w:sz w:val="21"/>
        </w:rPr>
        <w:t xml:space="preserve"> HTTP Gzip Compression: </w:t>
      </w:r>
      <w:r>
        <w:rPr>
          <w:rFonts w:ascii="Calibri" w:hAnsi="Calibri"/>
          <w:sz w:val="21"/>
        </w:rPr>
        <w:t xml:space="preserve">Enabled for all frontend bundles, reducing bandwidth consumption - critical for operators on metered mobile data connections.</w:t>
      </w:r>
    </w:p>
    <w:p>
      <w:pPr>
        <w:pStyle w:val="Heading1"/>
      </w:pPr>
      <w:r>
        <w:t>5. Comparative Feature Matrix</w:t>
      </w:r>
    </w:p>
    <w:tbl>
      <w:tblPr>
        <w:tblW w:w="5000" w:type="pct"/>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r>
        <w:tc>
          <w:tcPr>
            <w:shd w:val="clear" w:color="auto" w:fill="1F497D"/>
            <w:tcMar>
              <w:top w:w="60" w:type="dxa"/>
              <w:bottom w:w="60" w:type="dxa"/>
              <w:left w:w="100" w:type="dxa"/>
              <w:right w:w="100" w:type="dxa"/>
            </w:tcMar>
          </w:tcPr>
          <w:p>
            <w:r>
              <w:rPr>
                <w:rFonts w:ascii="Calibri" w:hAnsi="Calibri"/>
                <w:sz w:val="18"/>
                <w:b/>
                <w:color w:val="FFFFFF"/>
              </w:rPr>
              <w:t xml:space="preserve">Feature</w:t>
            </w:r>
          </w:p>
        </w:tc>
        <w:tc>
          <w:tcPr>
            <w:shd w:val="clear" w:color="auto" w:fill="1F497D"/>
            <w:tcMar>
              <w:top w:w="60" w:type="dxa"/>
              <w:bottom w:w="60" w:type="dxa"/>
              <w:left w:w="100" w:type="dxa"/>
              <w:right w:w="100" w:type="dxa"/>
            </w:tcMar>
          </w:tcPr>
          <w:p>
            <w:r>
              <w:rPr>
                <w:rFonts w:ascii="Calibri" w:hAnsi="Calibri"/>
                <w:sz w:val="18"/>
                <w:b/>
                <w:color w:val="FFFFFF"/>
              </w:rPr>
              <w:t xml:space="preserve">Geotab</w:t>
            </w:r>
          </w:p>
        </w:tc>
        <w:tc>
          <w:tcPr>
            <w:shd w:val="clear" w:color="auto" w:fill="1F497D"/>
            <w:tcMar>
              <w:top w:w="60" w:type="dxa"/>
              <w:bottom w:w="60" w:type="dxa"/>
              <w:left w:w="100" w:type="dxa"/>
              <w:right w:w="100" w:type="dxa"/>
            </w:tcMar>
          </w:tcPr>
          <w:p>
            <w:r>
              <w:rPr>
                <w:rFonts w:ascii="Calibri" w:hAnsi="Calibri"/>
                <w:sz w:val="18"/>
                <w:b/>
                <w:color w:val="FFFFFF"/>
              </w:rPr>
              <w:t xml:space="preserve">Samsara</w:t>
            </w:r>
          </w:p>
        </w:tc>
        <w:tc>
          <w:tcPr>
            <w:shd w:val="clear" w:color="auto" w:fill="1F497D"/>
            <w:tcMar>
              <w:top w:w="60" w:type="dxa"/>
              <w:bottom w:w="60" w:type="dxa"/>
              <w:left w:w="100" w:type="dxa"/>
              <w:right w:w="100" w:type="dxa"/>
            </w:tcMar>
          </w:tcPr>
          <w:p>
            <w:r>
              <w:rPr>
                <w:rFonts w:ascii="Calibri" w:hAnsi="Calibri"/>
                <w:sz w:val="18"/>
                <w:b/>
                <w:color w:val="FFFFFF"/>
              </w:rPr>
              <w:t xml:space="preserve">Arc Transit</w:t>
            </w:r>
          </w:p>
        </w:tc>
      </w:tr>
      <w:tr>
        <w:tc>
          <w:tcPr>
            <w:tcMar>
              <w:top w:w="60" w:type="dxa"/>
              <w:bottom w:w="60" w:type="dxa"/>
              <w:left w:w="100" w:type="dxa"/>
              <w:right w:w="100" w:type="dxa"/>
            </w:tcMar>
          </w:tcPr>
          <w:p>
            <w:r>
              <w:rPr>
                <w:rFonts w:ascii="Calibri" w:hAnsi="Calibri"/>
                <w:sz w:val="18"/>
              </w:rPr>
              <w:t xml:space="preserve">Fleet Registration and Status Tracking</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w:t>
            </w:r>
          </w:p>
        </w:tc>
      </w:tr>
      <w:tr>
        <w:tc>
          <w:tcPr>
            <w:tcMar>
              <w:top w:w="60" w:type="dxa"/>
              <w:bottom w:w="60" w:type="dxa"/>
              <w:left w:w="100" w:type="dxa"/>
              <w:right w:w="100" w:type="dxa"/>
            </w:tcMar>
          </w:tcPr>
          <w:p>
            <w:r>
              <w:rPr>
                <w:rFonts w:ascii="Calibri" w:hAnsi="Calibri"/>
                <w:sz w:val="18"/>
              </w:rPr>
              <w:t xml:space="preserve">Driver Management and License Tracking</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 (with expiry alerts)</w:t>
            </w:r>
          </w:p>
        </w:tc>
      </w:tr>
      <w:tr>
        <w:tc>
          <w:tcPr>
            <w:tcMar>
              <w:top w:w="60" w:type="dxa"/>
              <w:bottom w:w="60" w:type="dxa"/>
              <w:left w:w="100" w:type="dxa"/>
              <w:right w:w="100" w:type="dxa"/>
            </w:tcMar>
          </w:tcPr>
          <w:p>
            <w:r>
              <w:rPr>
                <w:rFonts w:ascii="Calibri" w:hAnsi="Calibri"/>
                <w:sz w:val="18"/>
              </w:rPr>
              <w:t xml:space="preserve">Route Planning and Stop Management</w:t>
            </w:r>
          </w:p>
        </w:tc>
        <w:tc>
          <w:tcPr>
            <w:tcMar>
              <w:top w:w="60" w:type="dxa"/>
              <w:bottom w:w="60" w:type="dxa"/>
              <w:left w:w="100" w:type="dxa"/>
              <w:right w:w="100" w:type="dxa"/>
            </w:tcMar>
          </w:tcPr>
          <w:p>
            <w:r>
              <w:rPr>
                <w:rFonts w:ascii="Calibri" w:hAnsi="Calibri"/>
                <w:sz w:val="18"/>
              </w:rPr>
              <w:t xml:space="preserve">NO (third-party)</w:t>
            </w:r>
          </w:p>
        </w:tc>
        <w:tc>
          <w:tcPr>
            <w:tcMar>
              <w:top w:w="60" w:type="dxa"/>
              <w:bottom w:w="60" w:type="dxa"/>
              <w:left w:w="100" w:type="dxa"/>
              <w:right w:w="100" w:type="dxa"/>
            </w:tcMar>
          </w:tcPr>
          <w:p>
            <w:r>
              <w:rPr>
                <w:rFonts w:ascii="Calibri" w:hAnsi="Calibri"/>
                <w:sz w:val="18"/>
              </w:rPr>
              <w:t xml:space="preserve">YES (basic)</w:t>
            </w:r>
          </w:p>
        </w:tc>
        <w:tc>
          <w:tcPr>
            <w:tcMar>
              <w:top w:w="60" w:type="dxa"/>
              <w:bottom w:w="60" w:type="dxa"/>
              <w:left w:w="100" w:type="dxa"/>
              <w:right w:w="100" w:type="dxa"/>
            </w:tcMar>
          </w:tcPr>
          <w:p>
            <w:r>
              <w:rPr>
                <w:rFonts w:ascii="Calibri" w:hAnsi="Calibri"/>
                <w:sz w:val="18"/>
              </w:rPr>
              <w:t xml:space="preserve">YES (parent-child ordered stops)</w:t>
            </w:r>
          </w:p>
        </w:tc>
      </w:tr>
      <w:tr>
        <w:tc>
          <w:tcPr>
            <w:tcMar>
              <w:top w:w="60" w:type="dxa"/>
              <w:bottom w:w="60" w:type="dxa"/>
              <w:left w:w="100" w:type="dxa"/>
              <w:right w:w="100" w:type="dxa"/>
            </w:tcMar>
          </w:tcPr>
          <w:p>
            <w:r>
              <w:rPr>
                <w:rFonts w:ascii="Calibri" w:hAnsi="Calibri"/>
                <w:sz w:val="18"/>
              </w:rPr>
              <w:t xml:space="preserve">Dispatch Assignment and Scheduling</w:t>
            </w:r>
          </w:p>
        </w:tc>
        <w:tc>
          <w:tcPr>
            <w:tcMar>
              <w:top w:w="60" w:type="dxa"/>
              <w:bottom w:w="60" w:type="dxa"/>
              <w:left w:w="100" w:type="dxa"/>
              <w:right w:w="100" w:type="dxa"/>
            </w:tcMar>
          </w:tcPr>
          <w:p>
            <w:r>
              <w:rPr>
                <w:rFonts w:ascii="Calibri" w:hAnsi="Calibri"/>
                <w:sz w:val="18"/>
              </w:rPr>
              <w:t xml:space="preserve">NO (third-party)</w:t>
            </w:r>
          </w:p>
        </w:tc>
        <w:tc>
          <w:tcPr>
            <w:tcMar>
              <w:top w:w="60" w:type="dxa"/>
              <w:bottom w:w="60" w:type="dxa"/>
              <w:left w:w="100" w:type="dxa"/>
              <w:right w:w="100" w:type="dxa"/>
            </w:tcMar>
          </w:tcPr>
          <w:p>
            <w:r>
              <w:rPr>
                <w:rFonts w:ascii="Calibri" w:hAnsi="Calibri"/>
                <w:sz w:val="18"/>
              </w:rPr>
              <w:t xml:space="preserve">NO (third-party)</w:t>
            </w:r>
          </w:p>
        </w:tc>
        <w:tc>
          <w:tcPr>
            <w:tcMar>
              <w:top w:w="60" w:type="dxa"/>
              <w:bottom w:w="60" w:type="dxa"/>
              <w:left w:w="100" w:type="dxa"/>
              <w:right w:w="100" w:type="dxa"/>
            </w:tcMar>
          </w:tcPr>
          <w:p>
            <w:r>
              <w:rPr>
                <w:rFonts w:ascii="Calibri" w:hAnsi="Calibri"/>
                <w:sz w:val="18"/>
              </w:rPr>
              <w:t xml:space="preserve">YES (with 5-step validation)</w:t>
            </w:r>
          </w:p>
        </w:tc>
      </w:tr>
      <w:tr>
        <w:tc>
          <w:tcPr>
            <w:tcMar>
              <w:top w:w="60" w:type="dxa"/>
              <w:bottom w:w="60" w:type="dxa"/>
              <w:left w:w="100" w:type="dxa"/>
              <w:right w:w="100" w:type="dxa"/>
            </w:tcMar>
          </w:tcPr>
          <w:p>
            <w:r>
              <w:rPr>
                <w:rFonts w:ascii="Calibri" w:hAnsi="Calibri"/>
                <w:sz w:val="18"/>
              </w:rPr>
              <w:t xml:space="preserve">Maintenance Lifecycle State Machine</w:t>
            </w:r>
          </w:p>
        </w:tc>
        <w:tc>
          <w:tcPr>
            <w:tcMar>
              <w:top w:w="60" w:type="dxa"/>
              <w:bottom w:w="60" w:type="dxa"/>
              <w:left w:w="100" w:type="dxa"/>
              <w:right w:w="100" w:type="dxa"/>
            </w:tcMar>
          </w:tcPr>
          <w:p>
            <w:r>
              <w:rPr>
                <w:rFonts w:ascii="Calibri" w:hAnsi="Calibri"/>
                <w:sz w:val="18"/>
              </w:rPr>
              <w:t xml:space="preserve">NO (alerts only)</w:t>
            </w:r>
          </w:p>
        </w:tc>
        <w:tc>
          <w:tcPr>
            <w:tcMar>
              <w:top w:w="60" w:type="dxa"/>
              <w:bottom w:w="60" w:type="dxa"/>
              <w:left w:w="100" w:type="dxa"/>
              <w:right w:w="100" w:type="dxa"/>
            </w:tcMar>
          </w:tcPr>
          <w:p>
            <w:r>
              <w:rPr>
                <w:rFonts w:ascii="Calibri" w:hAnsi="Calibri"/>
                <w:sz w:val="18"/>
              </w:rPr>
              <w:t xml:space="preserve">NO (alerts only)</w:t>
            </w:r>
          </w:p>
        </w:tc>
        <w:tc>
          <w:tcPr>
            <w:tcMar>
              <w:top w:w="60" w:type="dxa"/>
              <w:bottom w:w="60" w:type="dxa"/>
              <w:left w:w="100" w:type="dxa"/>
              <w:right w:w="100" w:type="dxa"/>
            </w:tcMar>
          </w:tcPr>
          <w:p>
            <w:r>
              <w:rPr>
                <w:rFonts w:ascii="Calibri" w:hAnsi="Calibri"/>
                <w:sz w:val="18"/>
              </w:rPr>
              <w:t xml:space="preserve">YES (integrated with fleet status)</w:t>
            </w:r>
          </w:p>
        </w:tc>
      </w:tr>
      <w:tr>
        <w:tc>
          <w:tcPr>
            <w:tcMar>
              <w:top w:w="60" w:type="dxa"/>
              <w:bottom w:w="60" w:type="dxa"/>
              <w:left w:w="100" w:type="dxa"/>
              <w:right w:w="100" w:type="dxa"/>
            </w:tcMar>
          </w:tcPr>
          <w:p>
            <w:r>
              <w:rPr>
                <w:rFonts w:ascii="Calibri" w:hAnsi="Calibri"/>
                <w:sz w:val="18"/>
              </w:rPr>
              <w:t xml:space="preserve">Cross-Module Anomaly Detection</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 (reconciliation engine)</w:t>
            </w:r>
          </w:p>
        </w:tc>
      </w:tr>
      <w:tr>
        <w:tc>
          <w:tcPr>
            <w:tcMar>
              <w:top w:w="60" w:type="dxa"/>
              <w:bottom w:w="60" w:type="dxa"/>
              <w:left w:w="100" w:type="dxa"/>
              <w:right w:w="100" w:type="dxa"/>
            </w:tcMar>
          </w:tcPr>
          <w:p>
            <w:r>
              <w:rPr>
                <w:rFonts w:ascii="Calibri" w:hAnsi="Calibri"/>
                <w:sz w:val="18"/>
              </w:rPr>
              <w:t xml:space="preserve">Incident Reporting</w:t>
            </w:r>
          </w:p>
        </w:tc>
        <w:tc>
          <w:tcPr>
            <w:tcMar>
              <w:top w:w="60" w:type="dxa"/>
              <w:bottom w:w="60" w:type="dxa"/>
              <w:left w:w="100" w:type="dxa"/>
              <w:right w:w="100" w:type="dxa"/>
            </w:tcMar>
          </w:tcPr>
          <w:p>
            <w:r>
              <w:rPr>
                <w:rFonts w:ascii="Calibri" w:hAnsi="Calibri"/>
                <w:sz w:val="18"/>
              </w:rPr>
              <w:t xml:space="preserve">NO (third-party)</w:t>
            </w:r>
          </w:p>
        </w:tc>
        <w:tc>
          <w:tcPr>
            <w:tcMar>
              <w:top w:w="60" w:type="dxa"/>
              <w:bottom w:w="60" w:type="dxa"/>
              <w:left w:w="100" w:type="dxa"/>
              <w:right w:w="100" w:type="dxa"/>
            </w:tcMar>
          </w:tcPr>
          <w:p>
            <w:r>
              <w:rPr>
                <w:rFonts w:ascii="Calibri" w:hAnsi="Calibri"/>
                <w:sz w:val="18"/>
              </w:rPr>
              <w:t xml:space="preserve">YES (safety events)</w:t>
            </w:r>
          </w:p>
        </w:tc>
        <w:tc>
          <w:tcPr>
            <w:tcMar>
              <w:top w:w="60" w:type="dxa"/>
              <w:bottom w:w="60" w:type="dxa"/>
              <w:left w:w="100" w:type="dxa"/>
              <w:right w:w="100" w:type="dxa"/>
            </w:tcMar>
          </w:tcPr>
          <w:p>
            <w:r>
              <w:rPr>
                <w:rFonts w:ascii="Calibri" w:hAnsi="Calibri"/>
                <w:sz w:val="18"/>
              </w:rPr>
              <w:t xml:space="preserve">YES (manual + severity)</w:t>
            </w:r>
          </w:p>
        </w:tc>
      </w:tr>
      <w:tr>
        <w:tc>
          <w:tcPr>
            <w:tcMar>
              <w:top w:w="60" w:type="dxa"/>
              <w:bottom w:w="60" w:type="dxa"/>
              <w:left w:w="100" w:type="dxa"/>
              <w:right w:w="100" w:type="dxa"/>
            </w:tcMar>
          </w:tcPr>
          <w:p>
            <w:r>
              <w:rPr>
                <w:rFonts w:ascii="Calibri" w:hAnsi="Calibri"/>
                <w:sz w:val="18"/>
              </w:rPr>
              <w:t xml:space="preserve">Audit Trail / Business Logging</w:t>
            </w:r>
          </w:p>
        </w:tc>
        <w:tc>
          <w:tcPr>
            <w:tcMar>
              <w:top w:w="60" w:type="dxa"/>
              <w:bottom w:w="60" w:type="dxa"/>
              <w:left w:w="100" w:type="dxa"/>
              <w:right w:w="100" w:type="dxa"/>
            </w:tcMar>
          </w:tcPr>
          <w:p>
            <w:r>
              <w:rPr>
                <w:rFonts w:ascii="Calibri" w:hAnsi="Calibri"/>
                <w:sz w:val="18"/>
              </w:rPr>
              <w:t xml:space="preserve">YES (limited)</w:t>
            </w:r>
          </w:p>
        </w:tc>
        <w:tc>
          <w:tcPr>
            <w:tcMar>
              <w:top w:w="60" w:type="dxa"/>
              <w:bottom w:w="60" w:type="dxa"/>
              <w:left w:w="100" w:type="dxa"/>
              <w:right w:w="100" w:type="dxa"/>
            </w:tcMar>
          </w:tcPr>
          <w:p>
            <w:r>
              <w:rPr>
                <w:rFonts w:ascii="Calibri" w:hAnsi="Calibri"/>
                <w:sz w:val="18"/>
              </w:rPr>
              <w:t xml:space="preserve">YES (limited)</w:t>
            </w:r>
          </w:p>
        </w:tc>
        <w:tc>
          <w:tcPr>
            <w:tcMar>
              <w:top w:w="60" w:type="dxa"/>
              <w:bottom w:w="60" w:type="dxa"/>
              <w:left w:w="100" w:type="dxa"/>
              <w:right w:w="100" w:type="dxa"/>
            </w:tcMar>
          </w:tcPr>
          <w:p>
            <w:r>
              <w:rPr>
                <w:rFonts w:ascii="Calibri" w:hAnsi="Calibri"/>
                <w:sz w:val="18"/>
              </w:rPr>
              <w:t xml:space="preserve">YES (append-only, cross-module)</w:t>
            </w:r>
          </w:p>
        </w:tc>
      </w:tr>
      <w:tr>
        <w:tc>
          <w:tcPr>
            <w:tcMar>
              <w:top w:w="60" w:type="dxa"/>
              <w:bottom w:w="60" w:type="dxa"/>
              <w:left w:w="100" w:type="dxa"/>
              <w:right w:w="100" w:type="dxa"/>
            </w:tcMar>
          </w:tcPr>
          <w:p>
            <w:r>
              <w:rPr>
                <w:rFonts w:ascii="Calibri" w:hAnsi="Calibri"/>
                <w:sz w:val="18"/>
              </w:rPr>
              <w:t xml:space="preserve">Role-Based Access Control</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w:t>
            </w:r>
          </w:p>
        </w:tc>
        <w:tc>
          <w:tcPr>
            <w:tcMar>
              <w:top w:w="60" w:type="dxa"/>
              <w:bottom w:w="60" w:type="dxa"/>
              <w:left w:w="100" w:type="dxa"/>
              <w:right w:w="100" w:type="dxa"/>
            </w:tcMar>
          </w:tcPr>
          <w:p>
            <w:r>
              <w:rPr>
                <w:rFonts w:ascii="Calibri" w:hAnsi="Calibri"/>
                <w:sz w:val="18"/>
              </w:rPr>
              <w:t xml:space="preserve">YES (with admin safeguards)</w:t>
            </w:r>
          </w:p>
        </w:tc>
      </w:tr>
      <w:tr>
        <w:tc>
          <w:tcPr>
            <w:tcMar>
              <w:top w:w="60" w:type="dxa"/>
              <w:bottom w:w="60" w:type="dxa"/>
              <w:left w:w="100" w:type="dxa"/>
              <w:right w:w="100" w:type="dxa"/>
            </w:tcMar>
          </w:tcPr>
          <w:p>
            <w:r>
              <w:rPr>
                <w:rFonts w:ascii="Calibri" w:hAnsi="Calibri"/>
                <w:sz w:val="18"/>
              </w:rPr>
              <w:t xml:space="preserve">Self-Hosted / No Vendor Lock-In</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w:t>
            </w:r>
          </w:p>
        </w:tc>
      </w:tr>
      <w:tr>
        <w:tc>
          <w:tcPr>
            <w:tcMar>
              <w:top w:w="60" w:type="dxa"/>
              <w:bottom w:w="60" w:type="dxa"/>
              <w:left w:w="100" w:type="dxa"/>
              <w:right w:w="100" w:type="dxa"/>
            </w:tcMar>
          </w:tcPr>
          <w:p>
            <w:r>
              <w:rPr>
                <w:rFonts w:ascii="Calibri" w:hAnsi="Calibri"/>
                <w:sz w:val="18"/>
              </w:rPr>
              <w:t xml:space="preserve">Zero Hardware Requirement</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w:t>
            </w:r>
          </w:p>
        </w:tc>
      </w:tr>
      <w:tr>
        <w:tc>
          <w:tcPr>
            <w:tcMar>
              <w:top w:w="60" w:type="dxa"/>
              <w:bottom w:w="60" w:type="dxa"/>
              <w:left w:w="100" w:type="dxa"/>
              <w:right w:w="100" w:type="dxa"/>
            </w:tcMar>
          </w:tcPr>
          <w:p>
            <w:r>
              <w:rPr>
                <w:rFonts w:ascii="Calibri" w:hAnsi="Calibri"/>
                <w:sz w:val="18"/>
              </w:rPr>
              <w:t xml:space="preserve">Modular Deployment</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 (Spring Modulith)</w:t>
            </w:r>
          </w:p>
        </w:tc>
      </w:tr>
      <w:tr>
        <w:tc>
          <w:tcPr>
            <w:tcMar>
              <w:top w:w="60" w:type="dxa"/>
              <w:bottom w:w="60" w:type="dxa"/>
              <w:left w:w="100" w:type="dxa"/>
              <w:right w:w="100" w:type="dxa"/>
            </w:tcMar>
          </w:tcPr>
          <w:p>
            <w:r>
              <w:rPr>
                <w:rFonts w:ascii="Calibri" w:hAnsi="Calibri"/>
                <w:sz w:val="18"/>
              </w:rPr>
              <w:t xml:space="preserve">Controlled QA Testing</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 (scenario generator)</w:t>
            </w:r>
          </w:p>
        </w:tc>
      </w:tr>
      <w:tr>
        <w:tc>
          <w:tcPr>
            <w:tcMar>
              <w:top w:w="60" w:type="dxa"/>
              <w:bottom w:w="60" w:type="dxa"/>
              <w:left w:w="100" w:type="dxa"/>
              <w:right w:w="100" w:type="dxa"/>
            </w:tcMar>
          </w:tcPr>
          <w:p>
            <w:r>
              <w:rPr>
                <w:rFonts w:ascii="Calibri" w:hAnsi="Calibri"/>
                <w:sz w:val="18"/>
              </w:rPr>
              <w:t xml:space="preserve">Automated Modularity Verification</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NO</w:t>
            </w:r>
          </w:p>
        </w:tc>
        <w:tc>
          <w:tcPr>
            <w:tcMar>
              <w:top w:w="60" w:type="dxa"/>
              <w:bottom w:w="60" w:type="dxa"/>
              <w:left w:w="100" w:type="dxa"/>
              <w:right w:w="100" w:type="dxa"/>
            </w:tcMar>
          </w:tcPr>
          <w:p>
            <w:r>
              <w:rPr>
                <w:rFonts w:ascii="Calibri" w:hAnsi="Calibri"/>
                <w:sz w:val="18"/>
              </w:rPr>
              <w:t xml:space="preserve">YES (ArchUnit tests)</w:t>
            </w:r>
          </w:p>
        </w:tc>
      </w:tr>
    </w:tbl>
    <w:p/>
    <w:p>
      <w:pPr>
        <w:pStyle w:val="Heading1"/>
      </w:pPr>
      <w:r>
        <w:t>6. Conclusion</w:t>
      </w:r>
    </w:p>
    <w:p>
      <w:pPr>
        <w:spacing w:after="120"/>
      </w:pPr>
      <w:r>
        <w:rPr>
          <w:rFonts w:ascii="Calibri" w:hAnsi="Calibri"/>
          <w:sz w:val="21"/>
        </w:rPr>
        <w:t xml:space="preserve">The Arc Transit System demonstrates significant improvements over both the identified Philippine public transportation constraints and the capabilities of existing commercial fleet intelligence platforms (Geotab, Samsara) in the following areas:</w:t>
      </w:r>
    </w:p>
    <w:p>
      <w:pPr>
        <w:spacing w:after="40"/>
        <w:ind w:left="720" w:hanging="360"/>
      </w:pPr>
      <w:r>
        <w:rPr>
          <w:rFonts w:ascii="Symbol" w:hAnsi="Symbol"/>
          <w:sz w:val="21"/>
        </w:rPr>
        <w:t>·</w:t>
      </w:r>
      <w:r>
        <w:rPr>
          <w:rFonts w:ascii="Calibri" w:hAnsi="Calibri"/>
          <w:b/>
          <w:sz w:val="21"/>
        </w:rPr>
        <w:t xml:space="preserve"> Cost Accessibility: </w:t>
      </w:r>
      <w:r>
        <w:rPr>
          <w:rFonts w:ascii="Calibri" w:hAnsi="Calibri"/>
          <w:sz w:val="21"/>
        </w:rPr>
        <w:t xml:space="preserve">By eliminating proprietary hardware requirements, per-vehicle monthly subscriptions, and multi-year contract lock-ins, Arc Transit reduces the barrier to entry for small-to-medium cooperatives operating under the PTMP framework.</w:t>
      </w:r>
    </w:p>
    <w:p>
      <w:pPr>
        <w:spacing w:after="40"/>
        <w:ind w:left="720" w:hanging="360"/>
      </w:pPr>
      <w:r>
        <w:rPr>
          <w:rFonts w:ascii="Symbol" w:hAnsi="Symbol"/>
          <w:sz w:val="21"/>
        </w:rPr>
        <w:t>·</w:t>
      </w:r>
      <w:r>
        <w:rPr>
          <w:rFonts w:ascii="Calibri" w:hAnsi="Calibri"/>
          <w:b/>
          <w:sz w:val="21"/>
        </w:rPr>
        <w:t xml:space="preserve"> Operational Integration: </w:t>
      </w:r>
      <w:r>
        <w:rPr>
          <w:rFonts w:ascii="Calibri" w:hAnsi="Calibri"/>
          <w:sz w:val="21"/>
        </w:rPr>
        <w:t xml:space="preserve">Unlike Geotab and Samsara, which are primarily tracking platforms that require third-party integrations for dispatch, route planning, and maintenance workflows, Arc Transit provides a unified operations management system where fleet status, driver availability, route assignments, maintenance lifecycles, and anomaly detection are all tightly integrated within a single platform.</w:t>
      </w:r>
    </w:p>
    <w:p>
      <w:pPr>
        <w:spacing w:after="40"/>
        <w:ind w:left="720" w:hanging="360"/>
      </w:pPr>
      <w:r>
        <w:rPr>
          <w:rFonts w:ascii="Symbol" w:hAnsi="Symbol"/>
          <w:sz w:val="21"/>
        </w:rPr>
        <w:t>·</w:t>
      </w:r>
      <w:r>
        <w:rPr>
          <w:rFonts w:ascii="Calibri" w:hAnsi="Calibri"/>
          <w:b/>
          <w:sz w:val="21"/>
        </w:rPr>
        <w:t xml:space="preserve"> Anomaly Detection at the System Level: </w:t>
      </w:r>
      <w:r>
        <w:rPr>
          <w:rFonts w:ascii="Calibri" w:hAnsi="Calibri"/>
          <w:sz w:val="21"/>
        </w:rPr>
        <w:t xml:space="preserve">The reconciliation engine represents a capability that does not exist in either Geotab or Samsara - the ability to automatically detect contradictory states across operational domains (fleet, maintenance, dispatch) rather than within individual vehicle telemetry streams.</w:t>
      </w:r>
    </w:p>
    <w:p>
      <w:pPr>
        <w:spacing w:after="40"/>
        <w:ind w:left="720" w:hanging="360"/>
      </w:pPr>
      <w:r>
        <w:rPr>
          <w:rFonts w:ascii="Symbol" w:hAnsi="Symbol"/>
          <w:sz w:val="21"/>
        </w:rPr>
        <w:t>·</w:t>
      </w:r>
      <w:r>
        <w:rPr>
          <w:rFonts w:ascii="Calibri" w:hAnsi="Calibri"/>
          <w:b/>
          <w:sz w:val="21"/>
        </w:rPr>
        <w:t xml:space="preserve"> Philippine-Specific Design Decisions: </w:t>
      </w:r>
      <w:r>
        <w:rPr>
          <w:rFonts w:ascii="Calibri" w:hAnsi="Calibri"/>
          <w:sz w:val="21"/>
        </w:rPr>
        <w:t xml:space="preserve">The role-based security model accounts for cooperative governance structures, the dispatch validation prevents double-booking common in manual operations, and the self-hosted architecture eliminates dependency on continuous cellular connectivity - directly addressing documented constraints in provincial Philippine transit routes.</w:t>
      </w:r>
    </w:p>
    <w:p>
      <w:pPr>
        <w:spacing w:after="40"/>
        <w:ind w:left="720" w:hanging="360"/>
      </w:pPr>
      <w:r>
        <w:rPr>
          <w:rFonts w:ascii="Symbol" w:hAnsi="Symbol"/>
          <w:sz w:val="21"/>
        </w:rPr>
        <w:t>·</w:t>
      </w:r>
      <w:r>
        <w:rPr>
          <w:rFonts w:ascii="Calibri" w:hAnsi="Calibri"/>
          <w:b/>
          <w:sz w:val="21"/>
        </w:rPr>
        <w:t xml:space="preserve"> Architectural Sustainability: </w:t>
      </w:r>
      <w:r>
        <w:rPr>
          <w:rFonts w:ascii="Calibri" w:hAnsi="Calibri"/>
          <w:sz w:val="21"/>
        </w:rPr>
        <w:t xml:space="preserve">The Spring Modulith architecture, enforced through automated tests, ensures that the system can evolve incrementally without accumulating technical debt - a critical advantage for a platform intended to grow alongside the ongoing PTMP modernization timeline.</w:t>
      </w:r>
    </w:p>
    <w:p>
      <w:pPr>
        <w:spacing w:after="120"/>
      </w:pPr>
      <w:r>
        <w:rPr>
          <w:rFonts w:ascii="Calibri" w:hAnsi="Calibri"/>
          <w:sz w:val="21"/>
        </w:rPr>
        <w:t xml:space="preserve">While Arc Transit does not replace the GPS telemetry and AI-powered safety features of commercial platforms, it fills a critical gap that neither Geotab nor Samsara address: affordable, integrated, self-hosted transit operations management designed for the Philippine regulatory and operational context.</w:t>
      </w:r>
    </w:p>
    <w:p>
      <w:pPr>
        <w:pStyle w:val="Heading1"/>
      </w:pPr>
      <w:r>
        <w:t>7. References</w:t>
      </w:r>
    </w:p>
    <w:p>
      <w:pPr>
        <w:spacing w:after="40"/>
        <w:ind w:left="720" w:hanging="360"/>
      </w:pPr>
      <w:r>
        <w:rPr>
          <w:rFonts w:ascii="Symbol" w:hAnsi="Symbol"/>
          <w:sz w:val="21"/>
        </w:rPr>
        <w:t>·</w:t>
      </w:r>
      <w:r>
        <w:rPr>
          <w:rFonts w:ascii="Calibri" w:hAnsi="Calibri"/>
          <w:sz w:val="21"/>
        </w:rPr>
        <w:t xml:space="preserve"> LTFRB Public Transport Modernization Program (PTMP) Memorandum Circulars: https://ltfrb.gov.ph</w:t>
      </w:r>
    </w:p>
    <w:p>
      <w:pPr>
        <w:spacing w:after="40"/>
        <w:ind w:left="720" w:hanging="360"/>
      </w:pPr>
      <w:r>
        <w:rPr>
          <w:rFonts w:ascii="Symbol" w:hAnsi="Symbol"/>
          <w:sz w:val="21"/>
        </w:rPr>
        <w:t>·</w:t>
      </w:r>
      <w:r>
        <w:rPr>
          <w:rFonts w:ascii="Calibri" w:hAnsi="Calibri"/>
          <w:sz w:val="21"/>
        </w:rPr>
        <w:t xml:space="preserve"> LTFRB GPS/GNSS Technical Specifications for PUV Compliance</w:t>
      </w:r>
    </w:p>
    <w:p>
      <w:pPr>
        <w:spacing w:after="40"/>
        <w:ind w:left="720" w:hanging="360"/>
      </w:pPr>
      <w:r>
        <w:rPr>
          <w:rFonts w:ascii="Symbol" w:hAnsi="Symbol"/>
          <w:sz w:val="21"/>
        </w:rPr>
        <w:t>·</w:t>
      </w:r>
      <w:r>
        <w:rPr>
          <w:rFonts w:ascii="Calibri" w:hAnsi="Calibri"/>
          <w:sz w:val="21"/>
        </w:rPr>
        <w:t xml:space="preserve"> Geotab Fleet Management Platform (APAC): https://www.geotab.com/apac</w:t>
      </w:r>
    </w:p>
    <w:p>
      <w:pPr>
        <w:spacing w:after="40"/>
        <w:ind w:left="720" w:hanging="360"/>
      </w:pPr>
      <w:r>
        <w:rPr>
          <w:rFonts w:ascii="Symbol" w:hAnsi="Symbol"/>
          <w:sz w:val="21"/>
        </w:rPr>
        <w:t>·</w:t>
      </w:r>
      <w:r>
        <w:rPr>
          <w:rFonts w:ascii="Calibri" w:hAnsi="Calibri"/>
          <w:sz w:val="21"/>
        </w:rPr>
        <w:t xml:space="preserve"> Samsara Connected Operations Platform: https://www.samsara.com</w:t>
      </w:r>
    </w:p>
    <w:p>
      <w:pPr>
        <w:spacing w:after="40"/>
        <w:ind w:left="720" w:hanging="360"/>
      </w:pPr>
      <w:r>
        <w:rPr>
          <w:rFonts w:ascii="Symbol" w:hAnsi="Symbol"/>
          <w:sz w:val="21"/>
        </w:rPr>
        <w:t>·</w:t>
      </w:r>
      <w:r>
        <w:rPr>
          <w:rFonts w:ascii="Calibri" w:hAnsi="Calibri"/>
          <w:sz w:val="21"/>
        </w:rPr>
        <w:t xml:space="preserve"> Move As One Coalition - Philippine Public Transport Supply Analysis</w:t>
      </w:r>
    </w:p>
    <w:p>
      <w:pPr>
        <w:spacing w:after="40"/>
        <w:ind w:left="720" w:hanging="360"/>
      </w:pPr>
      <w:r>
        <w:rPr>
          <w:rFonts w:ascii="Symbol" w:hAnsi="Symbol"/>
          <w:sz w:val="21"/>
        </w:rPr>
        <w:t>·</w:t>
      </w:r>
      <w:r>
        <w:rPr>
          <w:rFonts w:ascii="Calibri" w:hAnsi="Calibri"/>
          <w:sz w:val="21"/>
        </w:rPr>
        <w:t xml:space="preserve"> OWASP Top 10 Web Application Security Risks (2021): https://owasp.org/www-project-top-ten/</w:t>
      </w:r>
    </w:p>
    <w:p>
      <w:pPr>
        <w:spacing w:after="40"/>
        <w:ind w:left="720" w:hanging="360"/>
      </w:pPr>
      <w:r>
        <w:rPr>
          <w:rFonts w:ascii="Symbol" w:hAnsi="Symbol"/>
          <w:sz w:val="21"/>
        </w:rPr>
        <w:t>·</w:t>
      </w:r>
      <w:r>
        <w:rPr>
          <w:rFonts w:ascii="Calibri" w:hAnsi="Calibri"/>
          <w:sz w:val="21"/>
        </w:rPr>
        <w:t xml:space="preserve"> Spring Boot 3.2 Reference Documentation: https://docs.spring.io/spring-boot/docs/current/reference/html/</w:t>
      </w:r>
    </w:p>
    <w:p>
      <w:pPr>
        <w:spacing w:after="40"/>
        <w:ind w:left="720" w:hanging="360"/>
      </w:pPr>
      <w:r>
        <w:rPr>
          <w:rFonts w:ascii="Symbol" w:hAnsi="Symbol"/>
          <w:sz w:val="21"/>
        </w:rPr>
        <w:t>·</w:t>
      </w:r>
      <w:r>
        <w:rPr>
          <w:rFonts w:ascii="Calibri" w:hAnsi="Calibri"/>
          <w:sz w:val="21"/>
        </w:rPr>
        <w:t xml:space="preserve"> Spring Modulith 2.1.0 Fundamentals: https://docs.spring.io/spring-modulith/reference/fundamentals.html</w:t>
      </w:r>
    </w:p>
    <w:p>
      <w:pPr>
        <w:spacing w:after="40"/>
        <w:ind w:left="720" w:hanging="360"/>
      </w:pPr>
      <w:r>
        <w:rPr>
          <w:rFonts w:ascii="Symbol" w:hAnsi="Symbol"/>
          <w:sz w:val="21"/>
        </w:rPr>
        <w:t>·</w:t>
      </w:r>
      <w:r>
        <w:rPr>
          <w:rFonts w:ascii="Calibri" w:hAnsi="Calibri"/>
          <w:sz w:val="21"/>
        </w:rPr>
        <w:t xml:space="preserve"> Spring Security 6 Architecture: https://docs.spring.io/spring-security/reference/servlet/architecture.html</w:t>
      </w:r>
    </w:p>
    <w:p>
      <w:pPr>
        <w:spacing w:after="40"/>
        <w:ind w:left="720" w:hanging="360"/>
      </w:pPr>
      <w:r>
        <w:rPr>
          <w:rFonts w:ascii="Symbol" w:hAnsi="Symbol"/>
          <w:sz w:val="21"/>
        </w:rPr>
        <w:t>·</w:t>
      </w:r>
      <w:r>
        <w:rPr>
          <w:rFonts w:ascii="Calibri" w:hAnsi="Calibri"/>
          <w:sz w:val="21"/>
        </w:rPr>
        <w:t xml:space="preserve"> Oracle Java 21 Virtual Threads (Project Loom): https://docs.oracle.com/en/java/javase/21/core/virtual-threads.html</w:t>
      </w:r>
    </w:p>
    <w:p>
      <w:pPr>
        <w:spacing w:after="40"/>
        <w:ind w:left="720" w:hanging="360"/>
      </w:pPr>
      <w:r>
        <w:rPr>
          <w:rFonts w:ascii="Symbol" w:hAnsi="Symbol"/>
          <w:sz w:val="21"/>
        </w:rPr>
        <w:t>·</w:t>
      </w:r>
      <w:r>
        <w:rPr>
          <w:rFonts w:ascii="Calibri" w:hAnsi="Calibri"/>
          <w:sz w:val="21"/>
        </w:rPr>
        <w:t xml:space="preserve"> Vaadin 25 Flow Architecture: https://vaadin.com/docs/latest/flow/architecture</w:t>
      </w:r>
    </w:p>
    <w:p>
      <w:pPr>
        <w:spacing w:after="40"/>
        <w:ind w:left="720" w:hanging="360"/>
      </w:pPr>
      <w:r>
        <w:rPr>
          <w:rFonts w:ascii="Symbol" w:hAnsi="Symbol"/>
          <w:sz w:val="21"/>
        </w:rPr>
        <w:t>·</w:t>
      </w:r>
      <w:r>
        <w:rPr>
          <w:rFonts w:ascii="Calibri" w:hAnsi="Calibri"/>
          <w:sz w:val="21"/>
        </w:rPr>
        <w:t xml:space="preserve"> PostgreSQL 17 Documentation: https://www.postgresql.org/docs/current/</w:t>
      </w:r>
    </w:p>
    <w:p>
      <w:pPr>
        <w:spacing w:after="40"/>
        <w:ind w:left="720" w:hanging="360"/>
      </w:pPr>
      <w:r>
        <w:rPr>
          <w:rFonts w:ascii="Symbol" w:hAnsi="Symbol"/>
          <w:sz w:val="21"/>
        </w:rPr>
        <w:t>·</w:t>
      </w:r>
      <w:r>
        <w:rPr>
          <w:rFonts w:ascii="Calibri" w:hAnsi="Calibri"/>
          <w:sz w:val="21"/>
        </w:rPr>
        <w:t xml:space="preserve"> Flyway Database Migration Concepts: https://documentation.red-gate.com/flyway/flyway-cli-and-api/concepts/migrations</w:t>
      </w:r>
    </w:p>
  </w:body>
</w:document>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pPr>
      <w:spacing w:before="240" w:after="120"/>
    </w:pPr>
    <w:rPr>
      <w:rFonts w:ascii="Calibri" w:hAnsi="Calibri"/>
      <w:b/>
      <w:color w:val="1F497D"/>
      <w:sz w:val="32"/>
    </w:rPr>
  </w:style>
  <w:style w:type="paragraph" w:styleId="Heading2">
    <w:name w:val="heading 2"/>
    <w:pPr>
      <w:spacing w:before="200" w:after="80"/>
    </w:pPr>
    <w:rPr>
      <w:rFonts w:ascii="Calibri" w:hAnsi="Calibri"/>
      <w:b/>
      <w:color w:val="1F497D"/>
      <w:sz w:val="26"/>
    </w:rPr>
  </w:style>
  <w:style w:type="paragraph" w:styleId="Title">
    <w:name w:val="Title"/>
    <w:pPr>
      <w:spacing w:after="60"/>
    </w:pPr>
    <w:rPr>
      <w:rFonts w:ascii="Calibri" w:hAnsi="Calibri"/>
      <w:b/>
      <w:color w:val="1F497D"/>
      <w:sz w:val="5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