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bookmarkStart w:id="0" w:name="_Hlk195522506"/>
      <w:bookmarkEnd w:id="0"/>
      <w:r>
        <w:rPr>
          <w:rFonts w:cs="Times New Roman" w:ascii="Liberation Serif" w:hAnsi="Liberation Serif"/>
          <w:color w:val="FFFFFF"/>
          <w:spacing w:val="-20"/>
          <w:sz w:val="26"/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7"/>
          <w:szCs w:val="27"/>
        </w:rPr>
        <w:t>«Крымский федеральный университет имени В. И. Вернадского»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Физико-технический институт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кафедра компьютерной инженерии и моделирования</w:t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 Богдан Андреевич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color w:val="FFFFFF"/>
          <w:sz w:val="28"/>
          <w:szCs w:val="28"/>
        </w:rPr>
        <w:t>РАЗРАБОТКА ПЛАТФОРМЫ УПРАВЛЕНИЯ ПРОГРАММНЫМИ ПРОЕКТАМИ</w:t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widowControl w:val="false"/>
        <w:spacing w:lineRule="auto" w:line="24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выпускная квалификационная работа (уровень бакалавриата)</w:t>
      </w:r>
    </w:p>
    <w:p>
      <w:pPr>
        <w:pStyle w:val="BodyText2"/>
        <w:widowControl w:val="false"/>
        <w:spacing w:lineRule="auto" w:line="240" w:before="280" w:after="0"/>
        <w:jc w:val="center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направление подготовки: 09.03.01 «Информатика и вычислительная техника»</w:t>
      </w:r>
    </w:p>
    <w:p>
      <w:pPr>
        <w:pStyle w:val="Normal"/>
        <w:widowControl w:val="false"/>
        <w:jc w:val="center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tbl>
      <w:tblPr>
        <w:tblStyle w:val="aff0"/>
        <w:tblpPr w:vertAnchor="text" w:horzAnchor="margin" w:leftFromText="180" w:rightFromText="180" w:tblpX="0" w:tblpY="303"/>
        <w:tblW w:w="935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182"/>
        <w:gridCol w:w="2759"/>
        <w:gridCol w:w="2409"/>
      </w:tblGrid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" w:name="_Toc195522934"/>
            <w:bookmarkStart w:id="2" w:name="_Toc196051117"/>
            <w:bookmarkStart w:id="3" w:name="_Toc195140816"/>
            <w:bookmarkStart w:id="4" w:name="_Toc195139999"/>
            <w:bookmarkStart w:id="5" w:name="_Toc197412251"/>
            <w:bookmarkStart w:id="6" w:name="_Toc197217238"/>
            <w:bookmarkStart w:id="7" w:name="_Toc195195707"/>
            <w:bookmarkStart w:id="8" w:name="_Toc195525835"/>
            <w:bookmarkStart w:id="9" w:name="_Toc195140758"/>
            <w:bookmarkStart w:id="10" w:name="_Toc197410299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Научный руководитель          доцент кафедры компьютерной инженерии и моделирования, к.т.н.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11" w:name="_Toc195140000"/>
            <w:bookmarkStart w:id="12" w:name="_Toc197412252"/>
            <w:bookmarkStart w:id="13" w:name="_Toc196051118"/>
            <w:bookmarkStart w:id="14" w:name="_Toc197410300"/>
            <w:bookmarkStart w:id="15" w:name="_Toc195525836"/>
            <w:bookmarkStart w:id="16" w:name="_Toc195140817"/>
            <w:bookmarkStart w:id="17" w:name="_Toc195195708"/>
            <w:bookmarkStart w:id="18" w:name="_Toc197217239"/>
            <w:bookmarkStart w:id="19" w:name="_Toc195522935"/>
            <w:bookmarkStart w:id="20" w:name="_Toc195140759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21" w:name="_Toc197410301"/>
            <w:bookmarkStart w:id="22" w:name="_Toc195140001"/>
            <w:bookmarkStart w:id="23" w:name="_Toc195525837"/>
            <w:bookmarkStart w:id="24" w:name="_Toc197217240"/>
            <w:bookmarkStart w:id="25" w:name="_Toc196051119"/>
            <w:bookmarkStart w:id="26" w:name="_Toc195522936"/>
            <w:bookmarkStart w:id="27" w:name="_Toc195195709"/>
            <w:bookmarkStart w:id="28" w:name="_Toc195140760"/>
            <w:bookmarkStart w:id="29" w:name="_Toc197412253"/>
            <w:bookmarkStart w:id="30" w:name="_Toc195140818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Парменов О.И.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left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59" w:type="dxa"/>
            <w:tcBorders/>
          </w:tcPr>
          <w:p>
            <w:pPr>
              <w:pStyle w:val="BodyText2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 w:eastAsiaTheme="minorHAnsi"/>
                <w:sz w:val="28"/>
                <w:szCs w:val="28"/>
              </w:rPr>
            </w:pPr>
            <w:r>
              <w:rPr>
                <w:rFonts w:eastAsia="Calibri" w:cs="Times New Roman" w:eastAsiaTheme="minorHAnsi"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360" w:beforeAutospacing="1" w:after="0"/>
              <w:ind w:hanging="0" w:left="0"/>
              <w:jc w:val="center"/>
              <w:outlineLvl w:val="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182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31" w:name="_Toc197217241"/>
            <w:bookmarkStart w:id="32" w:name="_Toc195195710"/>
            <w:bookmarkStart w:id="33" w:name="_Toc197410302"/>
            <w:bookmarkStart w:id="34" w:name="_Toc197412254"/>
            <w:bookmarkStart w:id="35" w:name="_Toc196051120"/>
            <w:bookmarkStart w:id="36" w:name="_Toc195525838"/>
            <w:bookmarkStart w:id="37" w:name="_Toc195522937"/>
            <w:bookmarkStart w:id="38" w:name="_Toc195140819"/>
            <w:bookmarkStart w:id="39" w:name="_Toc195140761"/>
            <w:bookmarkStart w:id="40" w:name="_Toc195140002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К ЗАЩИТЕ ДОПУСКАЮ Заведующий кафедрой компьютерной инженерии и моделирования</w:t>
            </w:r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</w:p>
        </w:tc>
        <w:tc>
          <w:tcPr>
            <w:tcW w:w="275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___________________</w:t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41" w:name="_Toc195522938"/>
            <w:bookmarkStart w:id="42" w:name="_Toc195525839"/>
            <w:bookmarkStart w:id="43" w:name="_Toc197217242"/>
            <w:bookmarkStart w:id="44" w:name="_Toc196051121"/>
            <w:bookmarkStart w:id="45" w:name="_Toc197412255"/>
            <w:bookmarkStart w:id="46" w:name="_Toc195140003"/>
            <w:bookmarkStart w:id="47" w:name="_Toc195140820"/>
            <w:bookmarkStart w:id="48" w:name="_Toc195140762"/>
            <w:bookmarkStart w:id="49" w:name="_Toc195195711"/>
            <w:bookmarkStart w:id="50" w:name="_Toc197410303"/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(подпись, дата)</w:t>
            </w:r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</w:p>
        </w:tc>
        <w:tc>
          <w:tcPr>
            <w:tcW w:w="2409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sz w:val="28"/>
                <w:szCs w:val="28"/>
              </w:rPr>
            </w:pPr>
            <w:bookmarkStart w:id="51" w:name="_Toc195140821"/>
            <w:bookmarkStart w:id="52" w:name="_Toc195195712"/>
            <w:bookmarkStart w:id="53" w:name="_Toc195522939"/>
            <w:bookmarkStart w:id="54" w:name="_Toc195525840"/>
            <w:bookmarkStart w:id="55" w:name="_Toc196051122"/>
            <w:bookmarkStart w:id="56" w:name="_Toc197217243"/>
            <w:bookmarkStart w:id="57" w:name="_Toc195140004"/>
            <w:bookmarkStart w:id="58" w:name="_Toc195140763"/>
            <w:bookmarkStart w:id="59" w:name="_Toc197410304"/>
            <w:bookmarkStart w:id="60" w:name="_Toc197412256"/>
            <w:r>
              <w:rPr>
                <w:rFonts w:eastAsia="Times New Roman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Милюков В.В.</w:t>
            </w:r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</w:tbl>
    <w:p>
      <w:pPr>
        <w:pStyle w:val="BodyText2"/>
        <w:widowControl w:val="false"/>
        <w:spacing w:before="280" w:after="280"/>
        <w:rPr>
          <w:rFonts w:ascii="Liberation Serif" w:hAnsi="Liberation Serif" w:eastAsia="Calibri" w:cs="Times New Roman"/>
          <w:color w:val="FFFFFF"/>
          <w:sz w:val="28"/>
          <w:szCs w:val="28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</w:r>
    </w:p>
    <w:p>
      <w:pPr>
        <w:pStyle w:val="BodyText2"/>
        <w:widowControl w:val="false"/>
        <w:spacing w:before="280" w:after="280"/>
        <w:jc w:val="center"/>
        <w:rPr>
          <w:rFonts w:ascii="Liberation Serif" w:hAnsi="Liberation Serif"/>
          <w:color w:val="FFFFFF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</w:rPr>
        <w:t>Симферополь 2025</w:t>
      </w:r>
    </w:p>
    <w:p>
      <w:pPr>
        <w:pStyle w:val="Normal"/>
        <w:spacing w:lineRule="auto" w:line="240" w:before="0" w:after="0"/>
        <w:rPr>
          <w:rFonts w:ascii="Liberation Serif" w:hAnsi="Liberation Serif" w:eastAsia="Calibri" w:cs="Times New Roman"/>
          <w:color w:val="FFFFFF"/>
          <w:sz w:val="28"/>
          <w:szCs w:val="28"/>
          <w:lang w:eastAsia="ru-RU"/>
        </w:rPr>
      </w:pPr>
      <w:r>
        <w:rPr>
          <w:rFonts w:eastAsia="Calibri" w:cs="Times New Roman" w:ascii="Liberation Serif" w:hAnsi="Liberation Serif"/>
          <w:color w:val="FFFFFF"/>
          <w:sz w:val="28"/>
          <w:szCs w:val="28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Чудопалов, Б.А. Разработка платформы управления программными проектами</w:t>
      </w:r>
      <w:r>
        <w:rPr>
          <w:rFonts w:cs="Times New Roman" w:ascii="Liberation Serif" w:hAnsi="Liberation Serif"/>
          <w:color w:val="FFFFFF"/>
          <w:sz w:val="28"/>
          <w:szCs w:val="28"/>
        </w:rPr>
        <w:t>: выпускн. квалиф. работа: 09.03.04. – Симферополь: КФУ им. В.И. Вернадского, 2026. – 45 с., 35 ил., 7 ист., 2 табл.</w:t>
      </w:r>
    </w:p>
    <w:p>
      <w:pPr>
        <w:pStyle w:val="Normal"/>
        <w:spacing w:lineRule="auto" w:line="360" w:beforeAutospacing="1" w:afterAutospacing="1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Объект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процесс автоматизации жизненного цикла программного обеспечения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Предмет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разработка платформы управления программными проектами, которая поддерживет автоматическую сборку, тестирование и доставку на сервер.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Методы исследования: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анализ существующих решений CI/CD решений, изучение технологий контейнеризации, проектирование архитектуры взаимодействия между компонентами платформы, анализ эффективности платформы путем сравнения процессов развертывания вручную и с использованием платформы.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Цель работы:</w:t>
      </w: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 xml:space="preserve"> создание платформы, реализующей автоматизацию сборки, тестирования, проверки качества кода и доставки на сервера для программного проекта.</w:t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 w:eastAsia="Times New Roman" w:cs="Times New Roman"/>
          <w:color w:val="FFFFFF"/>
          <w:sz w:val="28"/>
          <w:szCs w:val="28"/>
          <w:lang w:eastAsia="ru-RU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</w:r>
    </w:p>
    <w:p>
      <w:pPr>
        <w:pStyle w:val="Normal"/>
        <w:spacing w:lineRule="auto" w:line="360" w:beforeAutospacing="1" w:afterAutospacing="1"/>
        <w:jc w:val="both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color w:val="FFFFFF"/>
          <w:sz w:val="28"/>
          <w:szCs w:val="28"/>
          <w:lang w:eastAsia="ru-RU"/>
        </w:rPr>
        <w:t>Разработана платформа, включающая автоматическую систему сборки, тестирования и доставки программных проектов. Платформа поддерживает такие языки программирования, как Java, C#, Python. Проведено тестирование временных затрат на развертывание проекта.</w:t>
      </w:r>
    </w:p>
    <w:p>
      <w:pPr>
        <w:pStyle w:val="Normal"/>
        <w:spacing w:lineRule="auto" w:line="360" w:beforeAutospacing="1" w:afterAutospacing="1"/>
        <w:rPr>
          <w:rFonts w:ascii="Liberation Serif" w:hAnsi="Liberation Serif"/>
          <w:color w:val="FFFFFF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DEVOPS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CI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>/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CD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DOCKER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SPRING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ANSIBLE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PIPELINES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  <w:t>NEXUS</w:t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Times New Roman"/>
          <w:b/>
          <w:bCs/>
          <w:color w:val="FFFFFF"/>
          <w:sz w:val="28"/>
          <w:szCs w:val="28"/>
          <w:lang w:val="en-US" w:eastAsia="ru-RU"/>
        </w:rPr>
      </w:pPr>
      <w:r>
        <w:rPr>
          <w:rFonts w:eastAsia="Times New Roman" w:cs="Times New Roman" w:ascii="Liberation Serif" w:hAnsi="Liberation Serif"/>
          <w:b/>
          <w:bCs/>
          <w:color w:val="FFFFFF"/>
          <w:sz w:val="28"/>
          <w:szCs w:val="28"/>
          <w:lang w:val="en-US" w:eastAsia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jc w:val="center"/>
            <w:rPr>
              <w:rFonts w:ascii="Liberation Serif" w:hAnsi="Liberation Serif"/>
              <w:color w:val="FFFFFF"/>
            </w:rPr>
          </w:pPr>
          <w:r>
            <w:br w:type="page"/>
          </w:r>
          <w:r>
            <w:rPr>
              <w:rFonts w:cs="Times New Roman" w:ascii="Liberation Serif" w:hAnsi="Liberation Serif"/>
              <w:color w:val="FFFFFF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r>
            <w:fldChar w:fldCharType="begin"/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instrText xml:space="preserve"> TOC \z \o "1-3" \u \h</w:instrText>
          </w:r>
          <w:r>
            <w:rPr>
              <w:webHidden/>
              <w:rStyle w:val="Style16"/>
              <w:sz w:val="28"/>
              <w:szCs w:val="28"/>
              <w:vanish w:val="false"/>
              <w:rFonts w:cs="Times New Roman" w:ascii="Liberation Serif" w:hAnsi="Liberation Serif"/>
              <w:color w:val="FFFFFF"/>
            </w:rPr>
            <w:fldChar w:fldCharType="separate"/>
          </w:r>
          <w:hyperlink w:anchor="_Toc215047425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ВВЕДЕНИЕ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6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26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ГЛАВА 1 Теоретические основы DevOps-автоматизации и управления процессами разработки программного обеспечения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9345" w:leader="dot"/>
            </w:tabs>
            <w:rPr/>
          </w:pPr>
          <w:hyperlink w:anchor="_Toc215047427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1.1</w:t>
            </w:r>
            <w:r>
              <w:rPr>
                <w:rStyle w:val="Style16"/>
                <w:rFonts w:eastAsia="" w:cs="Times New Roman" w:ascii="Liberation Serif" w:hAnsi="Liberation Serif" w:eastAsiaTheme="minorEastAsia"/>
                <w:color w:val="FFFFFF"/>
                <w:sz w:val="28"/>
                <w:szCs w:val="28"/>
                <w:lang w:eastAsia="ru-RU"/>
              </w:rPr>
              <w:tab/>
            </w:r>
            <w:r>
              <w:rPr>
                <w:rStyle w:val="Style16"/>
                <w:rFonts w:cs="Times New Roman" w:ascii="Liberation Serif" w:hAnsi="Liberation Serif"/>
                <w:color w:val="FFFFFF"/>
                <w:sz w:val="28"/>
                <w:szCs w:val="28"/>
              </w:rPr>
              <w:t>Жизненный цикл ПО и автоматизация процессов жизненного цикла</w:t>
            </w:r>
            <w:r>
              <w:rPr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9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8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1.2 Анализ существующих решений автоматизации жизненного цикла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11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29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1.3 Функциональность существующих решений и их недостатки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14</w:t>
          </w:r>
        </w:p>
        <w:p>
          <w:pPr>
            <w:pStyle w:val="TOC2"/>
            <w:tabs>
              <w:tab w:val="clear" w:pos="708"/>
              <w:tab w:val="right" w:pos="9345" w:leader="dot"/>
            </w:tabs>
            <w:rPr/>
          </w:pPr>
          <w:hyperlink w:anchor="_Toc215047430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1.4 Постановка задачи исследования</w:t>
              <w:tab/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18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rPr/>
          </w:pPr>
          <w:hyperlink w:anchor="_Toc215047431">
            <w:r>
              <w:rPr>
                <w:webHidden/>
                <w:rStyle w:val="Style16"/>
                <w:rFonts w:cs="Times New Roman" w:ascii="Liberation Serif" w:hAnsi="Liberation Serif"/>
                <w:vanish w:val="false"/>
                <w:color w:val="FFFFFF"/>
                <w:sz w:val="28"/>
                <w:szCs w:val="28"/>
              </w:rPr>
              <w:t>Литература:</w:t>
              <w:tab/>
              <w:t>1</w:t>
            </w:r>
          </w:hyperlink>
          <w:r>
            <w:rPr>
              <w:rFonts w:cs="Times New Roman" w:ascii="Liberation Serif" w:hAnsi="Liberation Serif"/>
              <w:vanish w:val="false"/>
              <w:color w:val="FFFFFF"/>
              <w:sz w:val="28"/>
              <w:szCs w:val="28"/>
            </w:rPr>
            <w:t>8</w:t>
          </w:r>
        </w:p>
        <w:p>
          <w:pPr>
            <w:pStyle w:val="Normal"/>
            <w:rPr>
              <w:rFonts w:ascii="Liberation Serif" w:hAnsi="Liberation Serif"/>
              <w:color w:val="FFFFFF"/>
            </w:rPr>
          </w:pPr>
          <w:r>
            <w:rPr>
              <w:rFonts w:ascii="Liberation Serif" w:hAnsi="Liberation Serif"/>
              <w:color w:val="FFFFFF"/>
            </w:rPr>
          </w:r>
          <w:r>
            <w:rPr>
              <w:rFonts w:ascii="Liberation Serif" w:hAnsi="Liberation Serif"/>
              <w:color w:val="FFFFFF"/>
            </w:rPr>
            <w:fldChar w:fldCharType="end"/>
          </w:r>
        </w:p>
      </w:sdtContent>
    </w:sdt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br w:type="page"/>
      </w:r>
      <w:bookmarkStart w:id="61" w:name="_Toc197410306"/>
      <w:bookmarkStart w:id="62" w:name="_Toc197412258"/>
      <w:bookmarkStart w:id="63" w:name="_Toc195522941"/>
      <w:bookmarkStart w:id="64" w:name="_Toc195525842"/>
      <w:bookmarkStart w:id="65" w:name="_Toc102500951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СПИСОК ИСПОЛЬЗУЕМЫХ ОБОЗНАЧЕНИЙ И СОКРАЩЕНИЙ</w:t>
      </w:r>
      <w:bookmarkEnd w:id="61"/>
      <w:bookmarkEnd w:id="62"/>
      <w:bookmarkEnd w:id="63"/>
      <w:bookmarkEnd w:id="64"/>
      <w:bookmarkEnd w:id="65"/>
    </w:p>
    <w:p>
      <w:pPr>
        <w:pStyle w:val="BodyText"/>
        <w:spacing w:lineRule="auto" w:line="360"/>
        <w:jc w:val="both"/>
        <w:rPr/>
      </w:pPr>
      <w:r>
        <w:rPr>
          <w:rStyle w:val="Strong"/>
          <w:rFonts w:cs="Times New Roman" w:ascii="Liberation Serif" w:hAnsi="Liberation Serif"/>
          <w:b/>
          <w:bCs/>
          <w:color w:val="FFFFFF"/>
          <w:sz w:val="28"/>
          <w:szCs w:val="28"/>
        </w:rPr>
        <w:t>CI/CD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практика автоматизации разработки ПО, включающая непрерывную интеграцию (Continuous Integration) и непрерывную доставку/развертывание (Continuous Delivery/Deployment), где изменения кода регулярно объединяются, тестируются и автоматически доставляются в рабочую среду.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/>
          <w:bCs/>
          <w:color w:val="FFFFFF"/>
          <w:sz w:val="28"/>
          <w:szCs w:val="28"/>
          <w:lang w:val="en-US"/>
        </w:rPr>
        <w:t>Deploy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(деплой) - развертывание и запуск веб-приложения или сайта в его рабочей среде, то есть на сервере или хостинге</w:t>
      </w:r>
    </w:p>
    <w:p>
      <w:pPr>
        <w:pStyle w:val="Normal"/>
        <w:spacing w:lineRule="auto" w:line="360"/>
        <w:rPr/>
      </w:pPr>
      <w:r>
        <w:rPr>
          <w:rStyle w:val="Emphasis"/>
          <w:rFonts w:cs="Times New Roman" w:ascii="Liberation Serif" w:hAnsi="Liberation Serif"/>
          <w:b/>
          <w:bCs/>
          <w:i w:val="false"/>
          <w:iCs w:val="false"/>
          <w:color w:val="FFFFFF"/>
          <w:sz w:val="28"/>
          <w:szCs w:val="28"/>
          <w:shd w:fill="auto" w:val="clear"/>
          <w:lang w:val="en-US"/>
        </w:rPr>
        <w:t>Pipeline</w:t>
      </w:r>
      <w:r>
        <w:rPr>
          <w:rStyle w:val="Emphasis"/>
          <w:rFonts w:cs="Times New Roman" w:ascii="Liberation Serif" w:hAnsi="Liberation Serif"/>
          <w:i w:val="false"/>
          <w:iCs w:val="false"/>
          <w:color w:val="FFFFFF"/>
          <w:sz w:val="28"/>
          <w:szCs w:val="28"/>
          <w:shd w:fill="auto" w:val="clear"/>
        </w:rPr>
        <w:t xml:space="preserve"> (пайплайн)</w:t>
      </w:r>
      <w:r>
        <w:rPr>
          <w:rFonts w:cs="Times New Roman" w:ascii="Liberation Serif" w:hAnsi="Liberation Serif"/>
          <w:color w:val="FFFFFF"/>
          <w:sz w:val="28"/>
          <w:szCs w:val="28"/>
          <w:shd w:fill="auto" w:val="clear"/>
        </w:rPr>
        <w:t> — это детализированная и стандартизированная последовательность этапов</w:t>
      </w:r>
    </w:p>
    <w:p>
      <w:pPr>
        <w:pStyle w:val="Normal"/>
        <w:spacing w:lineRule="auto" w:line="360"/>
        <w:rPr/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Каскадная модель (англ. </w:t>
      </w:r>
      <w:r>
        <w:rPr>
          <w:rStyle w:val="Emphasis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Waterfall</w:t>
      </w: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)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модель процесса разработки программного обеспечения, в которой работа организована как поток сверху вниз, последовательно проходящий все стадии жизненного цикла: анализ требований, проектирование, реализация, тестирование, интеграция и поддержка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>Master-Slave (Controller-Agent)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— это архитектурная модель, в которой один центральный узел (Master, контроллер) управляет процессами, распределяет задачи и контролирует их выполнение, а подчинённые узлы (Slave, агенты) выполняют назначенные операции и передают результаты обратно мастеру, обеспечивая централизованное управление и масштабируемое распределение вычислительных ресурсов.</w:t>
      </w:r>
    </w:p>
    <w:p>
      <w:pPr>
        <w:pStyle w:val="Normal"/>
        <w:spacing w:lineRule="auto" w:line="360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Dependency hell </w:t>
      </w:r>
      <w:r>
        <w:rPr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— это ситуация в разработке ПО, когда управление внешними библиотеками и пакетами становится крайне сложным из</w:t>
        <w:noBreakHyphen/>
        <w:t>за конфликтов версий, несовместимости и взаимозависимостей, что приводит к ошибкам при установке, сборке или запуске программ.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eastAsia="" w:cs="Times New Roman" w:ascii="Liberation Serif" w:hAnsi="Liberation Serif" w:eastAsiaTheme="majorEastAsia"/>
          <w:b/>
          <w:bCs/>
          <w:color w:val="FFFFFF"/>
          <w:sz w:val="28"/>
          <w:szCs w:val="28"/>
        </w:rPr>
        <w:t xml:space="preserve">GitLab Runner 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— это приложение, которое используется вместе с GitLab CI/CD для выполнения задач (jobs) в конвейере (pipeline). Оно подключается к GitLab, получает задания из </w:t>
      </w:r>
      <w:r>
        <w:rPr>
          <w:rStyle w:val="user4"/>
          <w:rFonts w:eastAsia="" w:ascii="Liberation Serif" w:hAnsi="Liberation Serif" w:eastAsiaTheme="majorEastAsia"/>
          <w:b w:val="false"/>
          <w:bCs w:val="false"/>
          <w:color w:val="FFFFFF"/>
          <w:sz w:val="28"/>
          <w:szCs w:val="28"/>
        </w:rPr>
        <w:t>.gitlab-ci.yml</w:t>
      </w:r>
      <w:r>
        <w:rPr>
          <w:rStyle w:val="Strong"/>
          <w:rFonts w:eastAsia="" w:cs="Times New Roman" w:ascii="Liberation Serif" w:hAnsi="Liberation Serif" w:eastAsiaTheme="majorEastAsia"/>
          <w:b w:val="false"/>
          <w:bCs w:val="false"/>
          <w:color w:val="FFFFFF"/>
          <w:sz w:val="28"/>
          <w:szCs w:val="28"/>
        </w:rPr>
        <w:t xml:space="preserve"> и запускает их на доступной вычислительной инфраструктуре.</w:t>
      </w:r>
      <w:bookmarkStart w:id="66" w:name="_Toc197412259"/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7" w:name="_Toc215047425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ВВЕДЕНИЕ</w:t>
      </w:r>
      <w:bookmarkEnd w:id="66"/>
      <w:bookmarkEnd w:id="67"/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контуры, чтобы конечные пользователи получили новый функционал как можно быстрее. Исходя из этого повышается потребность в инструментах, которые обеспечивают автоматизацию процессов, затрагивающих доставку в продуктовую среду. В этих условиях большую роль начинают играть платформы, которые объединяют процессы DevOps и предоставляющие единую экосистему для управления программным кодом[1].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Развитие технологий контейнеризации, автоматизации и CI/CD позволяет перейти от ручных операций к системам, которые способны автоматически собирать, тестировать и разворачивать приложения, тем самым снижая вероятность ошибок и повышать эффективность работы команды разработчиков. Преимуществом подобных платформ также является то, что они создают условия для стандартизации процессов разработки и развертывание программных продуктов.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посвящена разработке платформы управления программными проектами, обеспечивающей автоматизированную сборку, тестирование, проверку качества кода и развертывание на серверах с поддержкой контейнерных технологий. Актуальность темы обусловлена необходимостью оптимизации и унификации процессов разработки приложений любого масштаба и назначения. Когда речь идет о разработке приложений без использования подходов DevOps и автоматизации, команды вынуждены выполнять большое количество ручных операций, связанных с подготовкой окружения, сборкой проекта, запуском тестов, анализом кода и последующим развертыванием приложений. Очевидно, что такие процессы требуют больших затрат времени, увеличивают вероятность возникновения ошибок и существенно замедляют выпуск обновлений. В результате продукт становится менее конкурентоспособным, резко возрастает стоимость его сопровождения, а стабильность приложения напрямую зависит от человеческого фактора.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рамках работы реализована платформа, объединяющая функциональность автоматизированной сборки, тестирования и развертывания (деплоя). Платформа использует самостоятельно размещенные экземпляры GitLab и Nexus для хранения исходного кода приложения, интеграцию с репозиториями, запуск конвейеров сборки и тестирования.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Целью исследования является разработка и внедрение платформы, обеспечивающей полный цикл автоматизации управления программными проектами от хранения исходного кода до его развертывания.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Объектом исследования выступает процесс автоматизации жизненного цикла программного обеспечения, а предметом — реализация платформы управления программными проектами с поддержкой CI/CD, мониторинга, деплоя и анализа качества кода.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В ходе работы проводится анализ существующих технологий CI/CD и DevOps-платформ, реализация прототипа на основе современных инструментов контейнеризации и мониторинга, а также тестирование эффективности автоматизированных процессов.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Практическая значимость работы заключается в создании платформы, которая может применяться для автоматизации разработки в малых и средних командах, обеспечивая сокращение времени выпуска программного продукта, уменьшение количества ошибок и повышение прозрачности всех этапов разработки. Полученные результаты могут быть использованы при разработке аналогичных DevOps-решений, а также в исследовательских задачах, связанных с управлением жизненным циклом программного обеспечения.</w:t>
      </w:r>
    </w:p>
    <w:p>
      <w:pPr>
        <w:pStyle w:val="BodyText"/>
        <w:spacing w:lineRule="auto" w:line="360" w:beforeAutospacing="1" w:afterAutospacing="1"/>
        <w:ind w:firstLine="709"/>
        <w:jc w:val="both"/>
        <w:rPr>
          <w:rFonts w:ascii="Liberation Serif" w:hAnsi="Liberation Serif"/>
          <w:color w:val="FFFFFF"/>
        </w:rPr>
      </w:pPr>
      <w:r>
        <w:rPr>
          <w:rFonts w:eastAsia="" w:cs="Times New Roman" w:ascii="Liberation Serif" w:hAnsi="Liberation Serif" w:eastAsiaTheme="majorEastAsia"/>
          <w:color w:val="FFFFFF"/>
          <w:sz w:val="28"/>
          <w:szCs w:val="28"/>
        </w:rPr>
        <w:t>Работа состоит из трёх глав, введения, заключения и списка литературы. Первая глава посвящена теоретическим основам DevOps-методологий, CI/CD и автоматизации жизненного цикла программных проектов. Вторая глава описывает архитектуру и практическую реализацию разработанной платформы. Третья глава включает анализ работы платформы, её тестирование и оценку полученного эффекта от автоматизации.</w:t>
      </w:r>
    </w:p>
    <w:p>
      <w:pPr>
        <w:pStyle w:val="Normal"/>
        <w:spacing w:lineRule="auto" w:line="360" w:beforeAutospacing="1" w:afterAutospacing="1"/>
        <w:ind w:firstLine="709"/>
        <w:jc w:val="both"/>
        <w:rPr>
          <w:rFonts w:ascii="Liberation Serif" w:hAnsi="Liberation Serif" w:eastAsia="" w:cs="Times New Roman" w:eastAsiaTheme="majorEastAsia"/>
          <w:color w:val="FFFFFF"/>
          <w:sz w:val="28"/>
          <w:szCs w:val="28"/>
        </w:rPr>
      </w:pPr>
      <w:r>
        <w:rPr>
          <w:rFonts w:eastAsia="" w:cs="Times New Roman" w:eastAsiaTheme="majorEastAsia"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bookmarkStart w:id="68" w:name="_Toc215047426"/>
      <w:bookmarkStart w:id="69" w:name="_Toc197412260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ГЛАВА 1 </w:t>
      </w:r>
      <w:bookmarkEnd w:id="69"/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>Теоретические основы DevOps-автоматизации и управления процессами разработки программного обеспечения</w:t>
      </w:r>
      <w:bookmarkEnd w:id="68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Heading2"/>
        <w:numPr>
          <w:ilvl w:val="1"/>
          <w:numId w:val="2"/>
        </w:numPr>
        <w:spacing w:lineRule="auto" w:line="360"/>
        <w:jc w:val="both"/>
        <w:rPr/>
      </w:pPr>
      <w:bookmarkStart w:id="70" w:name="_Toc215047427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Жизненный цикл ПО и автоматизация процессов жизненного цикла</w:t>
      </w:r>
      <w:bookmarkEnd w:id="70"/>
    </w:p>
    <w:p>
      <w:pPr>
        <w:pStyle w:val="BodyText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Жизненный цикл программного обеспечения (SDLC — Software Development Life Cycle) представляет собой совокупность этапов, которые проходит программный продукт от момента принятия решения о его создании до полного прекращения эксплуатации. Классическая модель жизненного цикла включает в себя следующие основные фазы: сбор и анализ требований, проектирование архитектуры, написание программного кода, тестирование, развертывание и техническая поддержка[1].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традиционных моделях разработки (например, каскадной) переход между этапами осуществляется последовательно, что зачастую приводит к длительным циклам релиза и позднему обнаружению ошибок. С развитием гибких подходов DevOps акцент сместился на цикличность, частые итерации и автоматизацию рутинных процессов.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DevOps (Development Operations)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это методология, направленная на активное взаимодействие специалистов по разработке и специалистов по информационно-технологическому обслуживанию, а также на взаимную интеграцию их рабочих процессов друг в друга для обеспечения качества продукта[2].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Ключевым инструментом реализации DevOps-подхода является автоматизация процессов CI/CD: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Integration (CI, Непрерывная интеграция)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практика разработки, заключающаяся в частом слиянии рабочих копий кода в общую основную ветку разработки. Этот процесс сопровождается автоматическим запуском сборок проекта и выполнением тестов для максимально быстрого выявления ошибок интеграции.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Continuous Delivery (CD, Непрерывная доставка)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— </w:t>
      </w:r>
      <w:r>
        <w:rPr>
          <w:rFonts w:ascii="Liberation Serif" w:hAnsi="Liberation Serif"/>
          <w:color w:val="FFFFFF"/>
          <w:sz w:val="28"/>
          <w:szCs w:val="28"/>
        </w:rPr>
        <w:t>расширение CI, при котором изменения не только собираются и тестируются, но и автоматически подготавливаются к выпуску в производственную среду. Код всегда находится в состоянии, готовом к релизу, но само развертывание выполняется вручную по решению команды.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>Continuous Deployment (CD, Непрерывное развертывание)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— дальнейшее развитие практики Continuous Delivery, при котором каждое успешно прошедшее тестирование изменение автоматически разворачивается в производственной среде без участия человека. Это обеспечивает максимально быструю доставку функционала пользователям.</w:t>
      </w:r>
    </w:p>
    <w:p>
      <w:pPr>
        <w:pStyle w:val="BodyText"/>
        <w:spacing w:lineRule="auto" w:line="360" w:before="0" w:after="160"/>
        <w:jc w:val="both"/>
        <w:rPr/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Процесс автоматизации жизненного цикла обычно реализуется через </w:t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конвейеры (pipelines)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. Пайплайн описывает последовательность шагов, которые должен пройти код.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Типовой процесс автоматизированного жизненного цикла выглядит следующим образом: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Commit: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Разработчик отправляет код в систему контроля версий (VCS).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Build: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Система CI автоматически собирает приложение.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Test: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Запуск автоматических тестов и анализаторов кода.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Release: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Сохранение артефактов сборки (бинарных файлов, образов) в репозиторий (например, Nexus).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Deploy: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Автоматическая доставка приложения на тестовый или продуктовый контур. 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Современный CI/CD процесс можно отобразить в виде следующей схемы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889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Рисунок 1 — Этапы CI/CD.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Автоматизация этих процессов позволяет сократить время выхода на рынок, снизить влияние человеческого фактора при развертывании и повысить стабильность систем. Однако для реализации такого подхода необходимы специализированные программные комплексы.</w:t>
      </w:r>
    </w:p>
    <w:p>
      <w:pPr>
        <w:pStyle w:val="Heading2"/>
        <w:spacing w:lineRule="auto" w:line="360"/>
        <w:jc w:val="both"/>
        <w:rPr>
          <w:rFonts w:ascii="Liberation Serif" w:hAnsi="Liberation Serif"/>
          <w:b/>
          <w:bCs/>
          <w:color w:val="FFFFFF"/>
        </w:rPr>
      </w:pPr>
      <w:r>
        <w:rPr>
          <w:rFonts w:ascii="Liberation Serif" w:hAnsi="Liberation Serif"/>
          <w:b/>
          <w:bCs/>
          <w:color w:val="FFFFFF"/>
        </w:rPr>
      </w:r>
    </w:p>
    <w:p>
      <w:pPr>
        <w:pStyle w:val="Heading2"/>
        <w:spacing w:lineRule="auto" w:line="360"/>
        <w:jc w:val="both"/>
        <w:rPr/>
      </w:pPr>
      <w:bookmarkStart w:id="71" w:name="_Toc215047428"/>
      <w:bookmarkStart w:id="72" w:name="_Toc19741226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1.2 </w:t>
      </w:r>
      <w:bookmarkEnd w:id="72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Анализ существующих решений автоматизации жизненного цикла</w:t>
      </w:r>
      <w:bookmarkEnd w:id="71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/>
      </w:pP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 xml:space="preserve">На рынке существует множество инструментов для реализации CI/CD, которые различаются архитектурой, способом конфигурации и степенью интеграции с системами контроля версий. Рассмотрим наиболее популярные решения, используемые в индустрии: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Jenkins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</w:t>
      </w:r>
      <w:r>
        <w:rPr>
          <w:rStyle w:val="Strong"/>
          <w:rFonts w:cs="Times New Roman" w:ascii="Liberation Serif" w:hAnsi="Liberation Serif"/>
          <w:i w:val="false"/>
          <w:iCs w:val="false"/>
          <w:color w:val="FFFFFF"/>
          <w:sz w:val="28"/>
          <w:szCs w:val="28"/>
          <w:u w:val="none"/>
        </w:rPr>
        <w:t>G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itlab CI/CD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и </w:t>
      </w:r>
      <w:r>
        <w:rPr>
          <w:rStyle w:val="Strong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GitHub Actions</w:t>
      </w:r>
      <w:r>
        <w:rPr>
          <w:rStyle w:val="1"/>
          <w:rFonts w:cs="Times New Roman"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</w:t>
      </w:r>
    </w:p>
    <w:p>
      <w:pPr>
        <w:pStyle w:val="Normal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ab/>
      </w:r>
      <w:r>
        <w:rPr>
          <w:rFonts w:cs="Times New Roman" w:ascii="Liberation Serif" w:hAnsi="Liberation Serif"/>
          <w:color w:val="FFFFFF"/>
          <w:sz w:val="28"/>
          <w:szCs w:val="28"/>
        </w:rPr>
        <w:t>Jenkins — это одна из старейших и наиболее распространенных систем автоматизации с открытым исходным кодом, написанная на Java. Основное преимущество Jenkins заключается в его расширяемости: функциональность обеспечивается тысячами плагинов, поддерживаемых сообществом[3].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Использует модель Master-Slave (Controller-Agent), где мастер-узлы управляют расписанием и распределением задач, а агенты выполняют непосредственную сборку и тестирование.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Пайплайны описываются с использованием Groovy-скриптов, которые могут быть декларативными или скриптовыми.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Высокая гибкость, возможность запуска на собственной инфраструктуре, но сложная настройка и обслуживание - dependency hell. </w:t>
      </w:r>
    </w:p>
    <w:p>
      <w:pPr>
        <w:pStyle w:val="BodyText"/>
        <w:spacing w:lineRule="auto" w:line="360" w:before="0" w:after="16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57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Рисунок 2 — Пайплайн в Jenkins.</w:t>
      </w:r>
    </w:p>
    <w:p>
      <w:pPr>
        <w:pStyle w:val="Heading2"/>
        <w:spacing w:lineRule="auto" w:line="360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ab/>
        <w:t>GitLab CI/CD является частью платформы GitLab. Это комплексное решение, которое объединяет репозиторий кода, трекер задач и систему CI/CD в одном интерфейсе.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Использует концепцию GitLab Runners — агентов, которые устанавливаются на сервера и выполняют задачи, полученные от координатора GitLab.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Настройка производится через файл .gitlab-ci.yml, расположенный в корне репозитория проекта. Используется синтаксис YAML.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Тесная интеграция с репозиторием, встроенный реестр контейнеров, поддержка Auto DevOps. Является одним из стандартов для Self-hosted решений в корпоративном секторе. </w:t>
      </w:r>
    </w:p>
    <w:p>
      <w:pPr>
        <w:pStyle w:val="BodyText"/>
        <w:spacing w:lineRule="auto" w:line="259" w:before="0" w:after="160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5940425" cy="175514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t>Рисунок 3 — пайплайн в GitLab CI/CD</w:t>
      </w:r>
    </w:p>
    <w:p>
      <w:pPr>
        <w:pStyle w:val="BodyText"/>
        <w:spacing w:lineRule="auto" w:line="360"/>
        <w:rPr/>
      </w:pPr>
      <w:r>
        <w:rPr>
          <w:rStyle w:val="1"/>
          <w:rFonts w:cs="Times New Roman" w:ascii="Liberation Serif" w:hAnsi="Liberation Serif"/>
          <w:color w:val="FFFFFF"/>
          <w:sz w:val="28"/>
          <w:szCs w:val="28"/>
        </w:rPr>
        <w:br/>
        <w:tab/>
        <w:t>GitHub Actions - относительно новый инструмент от компании GitHub, который позволяет автоматизировать рабочие процессы непосредственно в репозитории GitHub.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Архитектура: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Облачная инфраструктура, предоставляемая GitHub или собственные раннеры.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Конфигурация: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 Используются YAML-файлы, расположенные в директории </w:t>
      </w:r>
      <w:r>
        <w:rPr>
          <w:rStyle w:val="user4"/>
          <w:rFonts w:ascii="Liberation Serif" w:hAnsi="Liberation Serif"/>
          <w:color w:val="FFFFFF"/>
          <w:sz w:val="28"/>
          <w:szCs w:val="28"/>
        </w:rPr>
        <w:t>.github/workflows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360"/>
        <w:ind w:hanging="283" w:left="709"/>
        <w:rPr/>
      </w:pPr>
      <w:r>
        <w:rPr>
          <w:rStyle w:val="Strong"/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>Особенности:</w:t>
      </w: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  <w:r>
        <w:rPr>
          <w:rFonts w:cs="Times New Roman" w:ascii="Liberation Serif" w:hAnsi="Liberation Serif"/>
          <w:color w:val="FFFFFF"/>
          <w:sz w:val="28"/>
          <w:szCs w:val="28"/>
        </w:rPr>
        <w:t xml:space="preserve">Огромный маркетплейс готовых действий (Actions), которые можно переиспользовать в своих пайплайнах как "кирпичики". Отлично подходит для Open Source проектов, но имеет ограничения в бесплатной версии для приватных репозиториев. </w:t>
      </w:r>
    </w:p>
    <w:p>
      <w:pPr>
        <w:pStyle w:val="BodyText"/>
        <w:spacing w:lineRule="auto" w:line="360" w:before="0" w:after="16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5900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color w:val="FFFFFF"/>
          <w:sz w:val="28"/>
          <w:szCs w:val="28"/>
        </w:rPr>
        <w:t>Рисунок 4 — пайплайн в GitHub Actions</w:t>
      </w:r>
    </w:p>
    <w:p>
      <w:pPr>
        <w:pStyle w:val="Heading2"/>
        <w:rPr/>
      </w:pPr>
      <w:bookmarkStart w:id="73" w:name="_Toc215047429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>1.3 Функциональность существующих решений и их недостатки</w:t>
      </w:r>
      <w:bookmarkEnd w:id="73"/>
      <w:r>
        <w:rPr>
          <w:rStyle w:val="1"/>
          <w:rFonts w:cs="Times New Roman" w:ascii="Liberation Serif" w:hAnsi="Liberation Serif"/>
          <w:b/>
          <w:bCs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Fonts w:ascii="Liberation Serif" w:hAnsi="Liberation Serif" w:cs="Times New Roman"/>
          <w:color w:val="FFFFFF"/>
          <w:sz w:val="28"/>
          <w:szCs w:val="28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 xml:space="preserve">Сравнение функциональности существующих CI/CD-систем приведено в таблице 1. В некоторых системах часть задач полностью автоматизированы, в других - требуют ручной настройки через стандартные инструменты [2]. 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bookmarkStart w:id="74" w:name="_Hlk194590313"/>
      <w:bookmarkStart w:id="75" w:name="_Hlk194590271"/>
      <w:bookmarkEnd w:id="74"/>
      <w:bookmarkEnd w:id="75"/>
      <w:r>
        <w:rPr>
          <w:rFonts w:ascii="Liberation Serif" w:hAnsi="Liberation Serif"/>
          <w:color w:val="FFFFFF"/>
          <w:sz w:val="28"/>
          <w:szCs w:val="28"/>
        </w:rPr>
        <w:tab/>
        <w:t>Таблица 1.1. Сравнение функциональных возможностей CI/CD-систем и предлагаемой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840"/>
        <w:gridCol w:w="1128"/>
        <w:gridCol w:w="1922"/>
        <w:gridCol w:w="1594"/>
        <w:gridCol w:w="1871"/>
      </w:tblGrid>
      <w:tr>
        <w:trPr>
          <w:tblHeader w:val="true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Аспект</w:t>
            </w:r>
            <w:r>
              <w:rPr>
                <w:rFonts w:ascii="Liberation Serif" w:hAnsi="Liberation Serif"/>
                <w:color w:val="FFFFFF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сравнения (функционал)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GitHub Actions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Jenkins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имеется ли реальная практическая потребность в данном функционале</w:t>
            </w:r>
          </w:p>
        </w:tc>
      </w:tr>
      <w:tr>
        <w:trPr>
          <w:trHeight w:val="723" w:hRule="atLeast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автоматическое создание репозитория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генерация CI/CD-файла по стеку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с ручной настройкой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автоматическая настройка интеграций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возможна через shared libraries, требует настройки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Self-hosted развёртывание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  <w:tr>
        <w:trPr/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both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подходит для команд без DevOps-специалиста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частично</w:t>
            </w:r>
          </w:p>
        </w:tc>
        <w:tc>
          <w:tcPr>
            <w:tcW w:w="1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нет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да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Отметим, что все доступные системы имеют ограничение: они не автоматизируют процесс настройки пайплайнов [2]. Разработчику или DevOps-инженеру приходится вручную создавать репозитории, подключать интеграции, копировать шаблоны и задавать переменные. Это замедляет запуск проектов и усложняет стандартизацию процессов.</w:t>
      </w:r>
    </w:p>
    <w:p>
      <w:pPr>
        <w:pStyle w:val="Normal"/>
        <w:spacing w:lineRule="auto" w:line="3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color w:val="FFFFFF"/>
          <w:sz w:val="28"/>
          <w:szCs w:val="28"/>
        </w:rPr>
        <w:t>Фактически, в них отсутствует полноценная экосистема, которая автоматизирует инициализацию проекта, централизованно управляет шаблонами и ролями, настраивает интеграции и переменные, обеспечивает стандартизацию процессов и минимизирует зависимость работы от узких специалистов. Из-за этого страдают как быстрота запуска новых проектов, так и сохранение единообразия CI/CD-пайплайнов.</w:t>
      </w:r>
    </w:p>
    <w:p>
      <w:pPr>
        <w:pStyle w:val="BodyText"/>
        <w:spacing w:lineRule="auto" w:line="360"/>
        <w:ind w:firstLine="709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Таким образом, проведённый анализ показывает, что современные CI/CD-системы хорошо справляются с выполнением сборки, тестирования и деплоя приложений [2]. Однако все они требуют ручной настройки репозиториев, шаблонов и интеграций, что создаёт дополнительные временные затраты, увеличивает нагрузку и делает процессы менее стандартизированными.</w:t>
      </w:r>
    </w:p>
    <w:p>
      <w:pPr>
        <w:pStyle w:val="BodyText"/>
        <w:spacing w:lineRule="auto" w:line="360" w:before="0" w:after="160"/>
        <w:ind w:firstLine="708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Эти требования особо актуальны для малых и средних команд, стартапов и образовательных проектов, где важны скорость запуска новых проектов, стандартизация пайплайнов и минимальная зависимость от узких специалистов.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center"/>
        <w:outlineLvl w:val="1"/>
        <w:rPr>
          <w:rFonts w:ascii="Liberation Serif" w:hAnsi="Liberation Serif"/>
          <w:color w:val="FFFFFF"/>
        </w:rPr>
      </w:pPr>
      <w:bookmarkStart w:id="76" w:name="_Toc215047430"/>
      <w:r>
        <w:rPr>
          <w:rFonts w:ascii="Liberation Serif" w:hAnsi="Liberation Serif"/>
          <w:b/>
          <w:bCs/>
          <w:color w:val="FFFFFF"/>
          <w:sz w:val="28"/>
          <w:szCs w:val="28"/>
        </w:rPr>
        <w:t>1.4 Постановка задачи исследования</w:t>
      </w:r>
      <w:bookmarkEnd w:id="76"/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Проведенный в предыдущих разделах анализ показал, что, несмотря на наличие развитых инструментов CI/CD, процесс их первоначальной настройки и интеграции остается трудоемким. Существует разрыв между потребностью бизнеса в быстром старте проектов и технической сложностью организации DevOps-конвейеров. Ручная настройка репозиториев, написание конфигурационных файлов «с нуля» и управление доступами приводят к ошибкам, фрагментации процессов и отсутствию стандартизации.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В связи с этим основной целью работы является проектирование и программная реализация платформы управления программными проектами, выступающей в роли оркестратора над существующим CI/CD-движком. Платформа должна скрывать сложность инфраструктурной настройки от разработчика, предоставляя единый интерфейс для управления жизненным циклом приложения.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 xml:space="preserve">Для достижения поставленной цели необходимо решить следующий комплекс задач: 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1. Проектирование архитектуры платформы: разработать структуру взаимодействия компонентов системы, включающую пользовательский интерфейс, серверную часть для обработки логики, базу данных для хранения метаинформации о проектах и модули интеграции с внешними сервисами.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2. Разработка механизма шаблонизации и генерации конфигураций: Создать подсистему, способную на основе выбранного технологического стека автоматически генерировать корректные файлы конфигурации CI/CD и скрипты развертывания.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3. Автоматизация взаимодействия с системой контроля версий: реализовать программный интерфейс для взаимодействия с API GitLab с целью автоматического создания репозиториев, настройки веток, управления правами доступа и внедрения необходимых переменных окружения.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4. Реализация централизованного управления зависимостями и артефактами: Обеспечить интеграцию с репозиторием артефактов для хранения результатов сборки.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</w:rPr>
      </w:pPr>
      <w:r>
        <w:rPr>
          <w:rFonts w:cs="Times New Roman" w:ascii="Liberation Serif" w:hAnsi="Liberation Serif"/>
          <w:b w:val="false"/>
          <w:bCs w:val="false"/>
          <w:color w:val="FFFFFF"/>
          <w:sz w:val="28"/>
          <w:szCs w:val="28"/>
        </w:rPr>
        <w:tab/>
        <w:t>5. Создание пользовательского интерфейса: разработать веб-интерфейс, позволяющий пользователям создавать новые проекты, выбирать необходимый стек для разработки проекта.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/>
        <w:jc w:val="left"/>
        <w:outlineLvl w:val="1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ГЛАВА 2 Практическая реализация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2.1 Общая архитектура и компоненты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Чтобы в полной мере понять почему были выбраны  те или иные технологии необходимо описать общую архитектуру платформы. При проектировании платформы были приняты следующие архитектурные решения: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Контейнеризация всех компонентов. Каждый компонент инфраструктуры — от базы данных до системы мониторинга — развернуты в Docker-контейнерах. Преимущества данного подхода заключаются в том, что обеспечивается воспроизводимость среды, упрощается развертывание на конечных серверах и устраняется проблема несоответствия зависимостей. Оркестрация контейнеров выполняется с помощью Docker Compose, позволяющего декларативно описать инфраструктуру в одном файле.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Клиент серверная архитектура с REST API. Фронтенд взаимодействует с бэкенд-сервером посредством HTTP-запросов, обмениваясь данными в JSON-формате. Это обеспечивает слабую связность между клиентской и серверной частями, позволяя внедрять новый функционал быстрее.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Многослойная архитектура бэкенда.  Серверная часть спроектирована по принципу layred architecture с разделением на слои представления, бизнеслогики, доступа к данным. Зависимости между слоями направлены строго сверху вниз, что обеспечивает тестируемость и сопровождение кода.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color w:val="FFFFFF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940425" cy="396176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Рисунок 5 — Общая архитектура платтформы  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Инфраструктура платформы состоит из одиннадцати контейнеров, каждый из которых выполняет строго отведенную роль. В таблице 2 приведен полный перечень компонентов с указанием используемых образов, внешних портов и назначения.</w:t>
      </w:r>
    </w:p>
    <w:p>
      <w:pPr>
        <w:pStyle w:val="Normal"/>
        <w:spacing w:lineRule="auto" w:line="360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2. Компоненты платформы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2155"/>
        <w:gridCol w:w="12"/>
        <w:gridCol w:w="2251"/>
        <w:gridCol w:w="26"/>
        <w:gridCol w:w="1446"/>
        <w:gridCol w:w="35"/>
        <w:gridCol w:w="3429"/>
      </w:tblGrid>
      <w:tr>
        <w:trPr>
          <w:tblHeader w:val="true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Компонент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Docker-образ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Внешний порт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Назначение</w:t>
            </w:r>
          </w:p>
        </w:tc>
      </w:tr>
      <w:tr>
        <w:trPr>
          <w:trHeight w:val="723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Frontend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(React + Nginx)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Пользовательский интерфейс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Backend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Custom (Spring Boot)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8080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REST API, бизнес-логика, интеграции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PostgreSQL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5432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Основное хранилище данных платформы</w:t>
            </w:r>
          </w:p>
        </w:tc>
      </w:tr>
      <w:tr>
        <w:trPr/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 CE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gitlab/gitlab-ce:16.6.0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8929, 2222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Система контроля версий и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GitLab Runner</w:t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gitlab/gitlab-runner:alpine</w:t>
            </w:r>
          </w:p>
        </w:tc>
        <w:tc>
          <w:tcPr>
            <w:tcW w:w="14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Исполнитель задач конвейеров CI/CD</w:t>
            </w:r>
          </w:p>
        </w:tc>
      </w:tr>
      <w:tr>
        <w:trPr>
          <w:trHeight w:val="839" w:hRule="atLeast"/>
        </w:trPr>
        <w:tc>
          <w:tcPr>
            <w:tcW w:w="216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</w:t>
            </w:r>
          </w:p>
        </w:tc>
        <w:tc>
          <w:tcPr>
            <w:tcW w:w="227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sonarqube:lts-community</w:t>
            </w:r>
          </w:p>
        </w:tc>
        <w:tc>
          <w:tcPr>
            <w:tcW w:w="14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9000</w:t>
            </w:r>
          </w:p>
        </w:tc>
        <w:tc>
          <w:tcPr>
            <w:tcW w:w="3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Статический анализ качества кода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SonarQube DB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postgres:15-alpine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-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Выделенная БД для SonarQube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Nexus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sonatype/nexus3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8081, 5000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Хранилище артефактов сборки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cAdvisor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ghcr.io/google/cadvisor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8082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Сбор метрик контейнеров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Prometheus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prom/prometheus:v2.52.0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9090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Агрегация и хранение метрик</w:t>
            </w:r>
          </w:p>
        </w:tc>
      </w:tr>
      <w:tr>
        <w:trPr>
          <w:trHeight w:val="839" w:hRule="atLeast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Grafana</w:t>
            </w:r>
          </w:p>
        </w:tc>
        <w:tc>
          <w:tcPr>
            <w:tcW w:w="22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grafana/grafana:11.0.0</w:t>
            </w:r>
          </w:p>
        </w:tc>
        <w:tc>
          <w:tcPr>
            <w:tcW w:w="14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  <w:sz w:val="26"/>
                <w:szCs w:val="26"/>
              </w:rPr>
              <w:t>3001</w:t>
            </w:r>
          </w:p>
        </w:tc>
        <w:tc>
          <w:tcPr>
            <w:tcW w:w="34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color w:val="FFFFFF"/>
              </w:rPr>
              <w:t>Визуализация метрик и дашборды</w:t>
            </w:r>
          </w:p>
        </w:tc>
      </w:tr>
    </w:tbl>
    <w:p>
      <w:pPr>
        <w:pStyle w:val="Normal"/>
        <w:spacing w:lineRule="auto" w:line="360"/>
        <w:ind w:firstLine="709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Все компоненты можно логически поделить на четыре группы, каждая из которых будет рассмотрена в следующих главах: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ядро платформы - </w:t>
      </w:r>
      <w:r>
        <w:rPr>
          <w:rFonts w:ascii="Liberation Serif" w:hAnsi="Liberation Serif"/>
          <w:color w:val="FFFFFF"/>
          <w:sz w:val="28"/>
          <w:szCs w:val="28"/>
        </w:rPr>
        <w:t>фронтенд, бэкенд и база данных, реализующие основную бизнес-логику;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DevOps инструментарий - GitLab, GitLab Runner и SonarQube, обеспечивающие CI/CD;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хранилище артефактов и секретов - Nexus и HashiCorp Vault;</w:t>
      </w:r>
    </w:p>
    <w:p>
      <w:pPr>
        <w:pStyle w:val="Normal"/>
        <w:numPr>
          <w:ilvl w:val="0"/>
          <w:numId w:val="8"/>
        </w:numPr>
        <w:spacing w:lineRule="auto" w:line="360" w:before="0" w:after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 xml:space="preserve">подсистема мониторинга - cAdvisor, Prometheus и Grafana. 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Все контейнеры платформы объединены в единую пользовательскую Docker-сеть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devops-network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с драйвером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bridge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Использование пользовательской сети, в отличие от сети по умолчанию, обеспечивает ряд преимуществ.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Автоматическое DNS-разрешение.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обращаются друг к другу по имени сервиса. Например, бэкенд подключается к базе данных как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postgres:5432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, а к GitLab — как </w:t>
      </w:r>
      <w:r>
        <w:rPr>
          <w:rStyle w:val="user4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gitlab:80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>. Это устраняет необходимость в жёстком указании IP-адресов и обеспечивает стабильность конфигурации при перезапусках.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Сетевая изоляция.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Контейнеры платформы изолированы от других контейнеров на хост-машине, не подключённых к данной сети, что повышает безопасность.</w:t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  <w:t>Воспроизводимость.</w:t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 xml:space="preserve"> Все сетевые взаимодействия описаны декларативно в файле Docker Compose и могут быть воспроизведены на любой машине без дополнительной настройки.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  <w:u w:val="none"/>
        </w:rPr>
        <w:tab/>
      </w:r>
      <w:r>
        <w:rPr>
          <w:rFonts w:ascii="Liberation Serif" w:hAnsi="Liberation Serif"/>
          <w:b w:val="false"/>
          <w:bCs w:val="false"/>
          <w:i w:val="false"/>
          <w:iCs w:val="false"/>
          <w:color w:val="FFFFFF"/>
          <w:sz w:val="28"/>
          <w:szCs w:val="28"/>
        </w:rPr>
        <w:t>Все данные, требующие сохранения между перезапусками контейнеров, хранятся в именованных Docker-томах. Именованные тома управляются Docker Engine и сохраняются на файловой системе хоста независимо от жизненного цикла контейнеров, что гарантирует сохранность данных при обновлении, перезапуске или пересоздании контейнеров.</w:t>
      </w:r>
    </w:p>
    <w:p>
      <w:pPr>
        <w:pStyle w:val="Normal"/>
        <w:jc w:val="right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Таблица 3. Именованные Docker-тома платформы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9"/>
      </w:tblGrid>
      <w:tr>
        <w:trPr>
          <w:tblHeader w:val="true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PostgreSQL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и индексы основной БД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gitlab_config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Конфигурационные файлы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gitlab_logs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GitLab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Репозитории, данные пользователей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sonarqube_db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 DB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Таблицы БД SonarQube</w:t>
            </w:r>
          </w:p>
        </w:tc>
      </w:tr>
      <w:tr>
        <w:trPr>
          <w:tblHeader w:val="true"/>
        </w:trPr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sonarqube_data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Результаты анализа</w:t>
            </w:r>
          </w:p>
        </w:tc>
      </w:tr>
    </w:tbl>
    <w:p>
      <w:pPr>
        <w:pStyle w:val="Normal"/>
        <w:pageBreakBefore w:val="false"/>
        <w:jc w:val="right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41"/>
        <w:gridCol w:w="2495"/>
        <w:gridCol w:w="3119"/>
      </w:tblGrid>
      <w:tr>
        <w:trPr>
          <w:tblHeader w:val="true"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Том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Контейнер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  <w:shd w:fill="auto" w:val="clear"/>
              </w:rPr>
              <w:t>Хранимые данные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sonarqube_extensions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Установленные плагины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sonarqube_logs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SonarQube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Журналы работы SonarQube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gitlab_runner_config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GitLab Runner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Конфигурация и регистрация Runner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Nexus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Артефакты и конфигурация Nexus</w:t>
            </w:r>
          </w:p>
        </w:tc>
      </w:tr>
      <w:tr>
        <w:trPr>
          <w:tblHeader w:val="true"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/>
            </w:pPr>
            <w:r>
              <w:rPr>
                <w:rStyle w:val="user4"/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grafana-data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Grafana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8"/>
              <w:spacing w:before="0" w:after="160"/>
              <w:jc w:val="center"/>
              <w:rPr>
                <w:rFonts w:ascii="Liberation Serif" w:hAnsi="Liberation Serif"/>
                <w:color w:val="FFFFFF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color w:val="FFFFFF"/>
                <w:sz w:val="28"/>
                <w:szCs w:val="28"/>
                <w:u w:val="none"/>
              </w:rPr>
              <w:t>Дашборды и настройки Grafana</w:t>
            </w:r>
          </w:p>
        </w:tc>
      </w:tr>
    </w:tbl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BodyText"/>
        <w:spacing w:lineRule="auto" w:line="360"/>
        <w:ind w:hanging="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Для обеспечения стабильной работы платформы реализованы несколько механизмов надёжности.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Политика перезапуска.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Все контейнеры сконфигурированы с политикой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restart: unless-stopped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. Это означает, что контейнер будет автоматически перезапущен при аварийном завершении или при перезагрузке хост-системы, но не будет перезапущен, если был остановлен вручную.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Проверки работоспособности (healthcheck).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Критичные контейнеры оснащены механизмами проверки: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 w:before="0" w:after="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PostgreSQL проверяется утилитой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pg_isready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10 секунд с допуском 5 попыток;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бэкенд проверяется HTTP-запросом к эндпоинту </w:t>
      </w:r>
      <w:r>
        <w:rPr>
          <w:rStyle w:val="user4"/>
          <w:rFonts w:ascii="Liberation Serif" w:hAnsi="Liberation Serif"/>
          <w:b w:val="false"/>
          <w:bCs w:val="false"/>
          <w:color w:val="FFFFFF"/>
          <w:sz w:val="28"/>
          <w:szCs w:val="28"/>
        </w:rPr>
        <w:t>/actuator/health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каждые 30 секунд. </w:t>
      </w:r>
    </w:p>
    <w:p>
      <w:pPr>
        <w:pStyle w:val="BodyText"/>
        <w:spacing w:lineRule="auto" w:line="360" w:before="0" w:after="160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Результаты healthcheck используются Docker Compose для определения готовности сервиса.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Условные зависимости при запуске.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Docker Compose обеспечивает корректный порядок старта: бэкенд запускается только после прохождения healthcheck базой данных; фронтенд — после готовности бэкенда. Это исключает ситуации, когда приложение пытается подключиться к ещё не запущенному сервису.</w:t>
      </w:r>
    </w:p>
    <w:p>
      <w:pPr>
        <w:pStyle w:val="BodyText"/>
        <w:spacing w:lineRule="auto" w:line="360" w:before="0" w:after="16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Выделение ресурсов.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Контейнеру GitLab назначен увеличенный объём разделяемой памяти, что предотвращает ошибки при работе встроенной базы данных PostgreSQL, используемой GitLab для внутренних нужд.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t>2.</w:t>
      </w:r>
      <w:r>
        <w:rPr>
          <w:rFonts w:ascii="Liberation Serif" w:hAnsi="Liberation Serif"/>
          <w:b/>
          <w:bCs/>
          <w:color w:val="FFFFFF"/>
          <w:sz w:val="28"/>
          <w:szCs w:val="28"/>
        </w:rPr>
        <w:t>2</w:t>
      </w:r>
      <w:r>
        <w:rPr>
          <w:rFonts w:ascii="Liberation Serif" w:hAnsi="Liberation Serif"/>
          <w:b/>
          <w:bCs/>
          <w:color w:val="FFFFFF"/>
          <w:sz w:val="28"/>
          <w:szCs w:val="28"/>
        </w:rPr>
        <w:t xml:space="preserve"> </w:t>
      </w:r>
      <w:r>
        <w:rPr>
          <w:rFonts w:ascii="Liberation Serif" w:hAnsi="Liberation Serif"/>
          <w:b/>
          <w:bCs/>
          <w:color w:val="FFFFFF"/>
          <w:sz w:val="28"/>
          <w:szCs w:val="28"/>
        </w:rPr>
        <w:t>Ядро платформы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Ядро платформы включает три компонента, непосредственно реализующих бизнес-логику и пользовательское взаимодействие: клиентское приложение (фронтенд), серверное приложение (бэкенд) и реляционная база данных. Эти компоненты образуют классическую трёхзвенную архитектуру, в которой каждый уровень отвечает за свою область ответственности.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  <w:tab/>
        <w:t>Серверное приложение реализовано на языке Java с использованием фреймворка Spring Boot и является центральным компонентом платформы, координирующим работу всех остальных сервисов. Бэкенд предоставляет REST API для клиентского приложения, управляет данными в базе данных, интегрируется с GitLab, SonarQube, Nexus и HashiCorp Vault.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  <w:tab/>
        <w:t>Приложение спроектировано по принципу многослойной архитектуры (layered architecture). Зависимости между слоями направлены строго сверху вниз: верхний слой может обращаться к нижнему, но не наоборот. Такой подход обеспечивает разделение ответственности, тестируемость каждого слоя в изоляции и возможность замены реализации на любом уровне без влияния на остальные.</w:t>
      </w:r>
    </w:p>
    <w:p>
      <w:pPr>
        <w:pStyle w:val="BodyText"/>
        <w:spacing w:lineRule="auto" w:line="360"/>
        <w:jc w:val="both"/>
        <w:rPr>
          <w:rFonts w:ascii="Liberation Serif" w:hAnsi="Liberation Serif"/>
          <w:color w:val="FFFFFF"/>
          <w:sz w:val="28"/>
          <w:szCs w:val="28"/>
        </w:rPr>
      </w:pPr>
      <w:r>
        <w:rPr>
          <w:rFonts w:ascii="Liberation Serif" w:hAnsi="Liberation Serif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659130</wp:posOffset>
            </wp:positionH>
            <wp:positionV relativeFrom="paragraph">
              <wp:posOffset>163195</wp:posOffset>
            </wp:positionV>
            <wp:extent cx="4651375" cy="2438400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375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>Рисунок 6 — Многослойная архитектура бекенд-приложения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Style w:val="Strong"/>
          <w:rFonts w:ascii="Liberation Serif" w:hAnsi="Liberation Serif"/>
          <w:b w:val="false"/>
          <w:bCs w:val="false"/>
          <w:color w:val="FFFFFF"/>
          <w:sz w:val="28"/>
          <w:szCs w:val="28"/>
        </w:rPr>
        <w:tab/>
        <w:t>Слой представления (Presentation Layer).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color w:val="FFFFFF"/>
          <w:sz w:val="28"/>
          <w:szCs w:val="28"/>
        </w:rPr>
        <w:t>controller</w:t>
      </w: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содержит REST-контроллеры, принимающие HTTP-запросы и возвращающие HTTP-ответы. Контроллеры не содержат бизнес-логики — они лишь валидируют входные данные, делегируют обработку сервисному слою и формируют ответ. 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Слой объектов передачи данных (DTO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Пакеты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dto.request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и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dto.response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содержат объекты, используемые для типизации входных и выходных данных API. Разделение на два подпакета обеспечивает явное различие между данными, поступающими от клиента, и данными, возвращаемыми ему. Использование DTO изолирует внутреннюю доменную модель от внешнего API-контракта, что позволяет изменять структуру сущностей базы данных без нарушения совместимости с клиентским приложением.</w:t>
      </w:r>
    </w:p>
    <w:p>
      <w:pPr>
        <w:pStyle w:val="Normal"/>
        <w:spacing w:lineRule="auto" w:line="360" w:before="0" w:after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</w: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>Слой бизнес-логики (Service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service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содержит сервисы, реализующие основную бизнес-логику приложения. Каждый сервис инкапсулирует логику работы с определённой доменной областью и является единственным местом, где принимаются бизнес-решения.</w:t>
      </w:r>
    </w:p>
    <w:p>
      <w:pPr>
        <w:pStyle w:val="Normal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Слой доступа к данным (Repository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repository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содержит интерфейсы, расширяющие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JpaRepository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из Spring Data JPA. Репозитории абстрагируют операции с базой данных, предоставляя декларативные методы для стандартных CRUD-операций и пользовательских запросов.</w:t>
      </w:r>
    </w:p>
    <w:p>
      <w:pPr>
        <w:pStyle w:val="Normal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Слой доменной модели (Entity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entity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содержит JPA-сущности, представляющие таблицы базы данных. Каждая сущность аннотирована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@Entity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и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@Table</w:t>
      </w:r>
      <w:r>
        <w:rPr>
          <w:rFonts w:ascii="Liberation Serif" w:hAnsi="Liberation Serif"/>
          <w:b w:val="false"/>
          <w:bCs w:val="false"/>
          <w:sz w:val="28"/>
          <w:szCs w:val="28"/>
        </w:rPr>
        <w:t>, а поля — аннотациями JPA для определения типов столбцов, ограничений и связей.</w:t>
      </w:r>
    </w:p>
    <w:p>
      <w:pPr>
        <w:pStyle w:val="Normal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Слой конфигурации (Configuration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config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содержит конфигурационные классы Spring, определяющие поведение приложения.</w:t>
      </w:r>
    </w:p>
    <w:p>
      <w:pPr>
        <w:pStyle w:val="BodyText"/>
        <w:spacing w:lineRule="auto" w:line="360" w:before="0" w:after="0"/>
        <w:jc w:val="both"/>
        <w:rPr/>
      </w:pPr>
      <w:r>
        <w:rPr>
          <w:rStyle w:val="Strong"/>
          <w:rFonts w:ascii="Liberation Serif" w:hAnsi="Liberation Serif"/>
          <w:b w:val="false"/>
          <w:bCs w:val="false"/>
          <w:sz w:val="28"/>
          <w:szCs w:val="28"/>
        </w:rPr>
        <w:tab/>
        <w:t>Слой обработки исключений (Exception Layer).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Пакет </w:t>
      </w:r>
      <w:r>
        <w:rPr>
          <w:rStyle w:val="Style17"/>
          <w:rFonts w:ascii="Liberation Serif" w:hAnsi="Liberation Serif"/>
          <w:b w:val="false"/>
          <w:bCs w:val="false"/>
          <w:sz w:val="28"/>
          <w:szCs w:val="28"/>
        </w:rPr>
        <w:t>exception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обеспечивает централизованную и единообразную обработку ошибок во всём приложении.</w:t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ab/>
        <w:t>Создание проекта является центральным сценарием использования платформы и инициирует цепочку автоматизированных действий, охватывающих как внутренние операции бэкенда, так и взаимодействие с GitLab API.</w:t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780415</wp:posOffset>
            </wp:positionH>
            <wp:positionV relativeFrom="paragraph">
              <wp:posOffset>-13970</wp:posOffset>
            </wp:positionV>
            <wp:extent cx="4504055" cy="342519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Normal"/>
        <w:spacing w:before="0" w:after="0"/>
        <w:jc w:val="both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Рисунок 7 — Диаграмма последовательности создания проекта</w:t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lineRule="auto" w:line="360" w:before="0" w:after="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pPr>
      <w:r>
        <w:rPr>
          <w:rFonts w:ascii="Liberation Serif" w:hAnsi="Liberation Serif"/>
          <w:b w:val="false"/>
          <w:bCs w:val="false"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b/>
          <w:bCs/>
          <w:color w:val="FFFFFF"/>
          <w:sz w:val="28"/>
          <w:szCs w:val="28"/>
        </w:rPr>
      </w:pPr>
      <w:r>
        <w:rPr>
          <w:rFonts w:ascii="Liberation Serif" w:hAnsi="Liberation Serif"/>
          <w:b/>
          <w:bCs/>
          <w:color w:val="FFFFFF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Liberation Serif" w:hAnsi="Liberation Serif"/>
          <w:color w:val="FFFFFF"/>
        </w:rPr>
      </w:pPr>
      <w:bookmarkStart w:id="77" w:name="_Toc215047431"/>
      <w:r>
        <w:rPr>
          <w:rFonts w:ascii="Liberation Serif" w:hAnsi="Liberation Serif"/>
          <w:b/>
          <w:bCs/>
          <w:color w:val="FFFFFF"/>
          <w:sz w:val="28"/>
          <w:szCs w:val="28"/>
        </w:rPr>
        <w:t>Литература:</w:t>
      </w:r>
      <w:bookmarkEnd w:id="77"/>
    </w:p>
    <w:p>
      <w:pPr>
        <w:pStyle w:val="Normal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</w:rPr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Баланов, А. Н. DevOps: интеграция и автоматизация : учебное пособие для вузов / А. Н. Баланов. — 2-е изд., стер. — Санкт-Петербург : Лань, 2025. — 240 с. — ISBN 978-5-507-50491-6. — Текст : электронный // Лань : электронно-библиотечная система. — URL: https://e.lanbook.com/book/440162 (дата обращения: 26.11.2025).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/>
        <w:ind w:hanging="0" w:left="-284"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Грувер, Г. Запуск и масштабирование DevOps на предприятии / Г. Грувер. — Москва : ДМК Пресс, 2018. — 80 с. — ISBN 978-5-97060-704-6. — Текст : электронный // Лань : электронно-библиотечная система. — URL: https://e.lanbook.com/book/116130 (дата обращения: 26.12.2025). — Режим доступа: для авториз. Пользователей.</w:t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0" w:left="-284"/>
        <w:contextualSpacing/>
        <w:jc w:val="both"/>
        <w:rPr>
          <w:rFonts w:ascii="Liberation Serif" w:hAnsi="Liberation Serif"/>
          <w:color w:val="FFFFFF"/>
        </w:rPr>
      </w:pPr>
      <w:r>
        <w:rPr>
          <w:rFonts w:ascii="Liberation Serif" w:hAnsi="Liberation Serif"/>
          <w:color w:val="FFFFFF"/>
          <w:sz w:val="28"/>
          <w:szCs w:val="28"/>
        </w:rPr>
        <w:t>Брент, Л. Jenkins 2. Приступаем к работе / Ластер Брент. — Москва : ДМК Пресс, 2019. — Твердый переплет. — ISBN 978-5-97060-652-0. — Текст : печатный.</w:t>
      </w:r>
    </w:p>
    <w:sectPr>
      <w:headerReference w:type="even" r:id="rId9"/>
      <w:headerReference w:type="default" r:id="rId10"/>
      <w:headerReference w:type="first" r:id="rId11"/>
      <w:type w:val="nextPage"/>
      <w:pgSz w:w="11906" w:h="16838"/>
      <w:pgMar w:left="1701" w:right="850" w:gutter="0" w:header="708" w:top="1134" w:footer="0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148592937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softHyphen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29</w:t>
        </w:r>
        <w:r>
          <w:rPr/>
          <w:fldChar w:fldCharType="end"/>
        </w:r>
      </w:p>
    </w:sdtContent>
  </w:sdt>
  <w:p>
    <w:pPr>
      <w:pStyle w:val="Header"/>
      <w:rPr>
        <w:rFonts w:ascii="Times New Roman" w:hAnsi="Times New Roman" w:cs="Times New Roman"/>
        <w:sz w:val="28"/>
        <w:szCs w:val="28"/>
      </w:rPr>
    </w:pPr>
    <w:r>
      <w:rPr>
        <w:rFonts w:cs="Times New Roman" w:ascii="Times New Roman" w:hAnsi="Times New Roman"/>
        <w:sz w:val="28"/>
        <w:szCs w:val="2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75" w:hanging="375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a0f4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aa0f4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9433a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5a57bd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00716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00716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9433af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9433af"/>
    <w:rPr>
      <w:b/>
      <w:bCs/>
    </w:rPr>
  </w:style>
  <w:style w:type="character" w:styleId="4" w:customStyle="1">
    <w:name w:val="Заголовок 4 Знак"/>
    <w:basedOn w:val="DefaultParagraphFont"/>
    <w:uiPriority w:val="9"/>
    <w:qFormat/>
    <w:rsid w:val="005a57bd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8" w:customStyle="1">
    <w:name w:val="Заголовок Знак"/>
    <w:basedOn w:val="DefaultParagraphFont"/>
    <w:uiPriority w:val="10"/>
    <w:qFormat/>
    <w:rsid w:val="00fb321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1" w:customStyle="1">
    <w:name w:val="Заголовок 1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aa0f4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670cae"/>
    <w:rPr/>
  </w:style>
  <w:style w:type="character" w:styleId="Style10" w:customStyle="1">
    <w:name w:val="Нижний колонтитул Знак"/>
    <w:basedOn w:val="DefaultParagraphFont"/>
    <w:uiPriority w:val="99"/>
    <w:qFormat/>
    <w:rsid w:val="00670cae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002714"/>
    <w:rPr>
      <w:rFonts w:ascii="Calibri" w:hAnsi="Calibri" w:eastAsia="Times New Roman" w:cs="SimSun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c046c0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a1172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6a1172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10c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65710c"/>
    <w:rPr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65710c"/>
    <w:rPr>
      <w:b/>
      <w:bCs/>
      <w:sz w:val="20"/>
      <w:szCs w:val="20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65710c"/>
    <w:rPr>
      <w:rFonts w:ascii="Segoe UI" w:hAnsi="Segoe UI" w:cs="Segoe UI"/>
      <w:sz w:val="18"/>
      <w:szCs w:val="18"/>
    </w:rPr>
  </w:style>
  <w:style w:type="character" w:styleId="Style14" w:customStyle="1">
    <w:name w:val="Текст концевой сноски Знак"/>
    <w:basedOn w:val="DefaultParagraphFont"/>
    <w:uiPriority w:val="99"/>
    <w:semiHidden/>
    <w:qFormat/>
    <w:rsid w:val="00b6088e"/>
    <w:rPr>
      <w:sz w:val="20"/>
      <w:szCs w:val="20"/>
    </w:rPr>
  </w:style>
  <w:style w:type="character" w:styleId="user" w:customStyle="1">
    <w:name w:val="Символ концевой сноски (user)"/>
    <w:uiPriority w:val="99"/>
    <w:semiHidden/>
    <w:unhideWhenUsed/>
    <w:qFormat/>
    <w:rsid w:val="00b6088e"/>
    <w:rPr>
      <w:vertAlign w:val="superscript"/>
    </w:rPr>
  </w:style>
  <w:style w:type="character" w:styleId="Style15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5" w:customStyle="1">
    <w:name w:val="Заголовок 5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00716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overflow-hidden" w:customStyle="1">
    <w:name w:val="overflow-hidden"/>
    <w:basedOn w:val="DefaultParagraphFont"/>
    <w:qFormat/>
    <w:rsid w:val="0000716e"/>
    <w:rPr/>
  </w:style>
  <w:style w:type="character" w:styleId="Emphasis">
    <w:name w:val="Emphasis"/>
    <w:basedOn w:val="DefaultParagraphFont"/>
    <w:uiPriority w:val="20"/>
    <w:qFormat/>
    <w:rsid w:val="00d22eb4"/>
    <w:rPr>
      <w:i/>
      <w:iCs/>
    </w:rPr>
  </w:style>
  <w:style w:type="character" w:styleId="user1" w:customStyle="1">
    <w:name w:val="Ссылка указателя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user3">
    <w:name w:val="Символ нумерации (user)"/>
    <w:qFormat/>
    <w:rPr/>
  </w:style>
  <w:style w:type="character" w:styleId="user4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6">
    <w:name w:val="Ссылка указателя"/>
    <w:qFormat/>
    <w:rPr/>
  </w:style>
  <w:style w:type="character" w:styleId="Style17">
    <w:name w:val="Исходный текст"/>
    <w:qFormat/>
    <w:rPr>
      <w:rFonts w:ascii="Liberation Mono" w:hAnsi="Liberation Mono" w:eastAsia="Liberation Mono" w:cs="Liberation Mono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b6088e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Noto Sans Devanagari"/>
    </w:rPr>
  </w:style>
  <w:style w:type="paragraph" w:styleId="user5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6" w:customStyle="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Style8"/>
    <w:uiPriority w:val="10"/>
    <w:qFormat/>
    <w:rsid w:val="00fb321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user5"/>
    <w:pPr/>
    <w:rPr/>
  </w:style>
  <w:style w:type="paragraph" w:styleId="NormalWeb">
    <w:name w:val="Normal (Web)"/>
    <w:basedOn w:val="Normal"/>
    <w:uiPriority w:val="99"/>
    <w:unhideWhenUsed/>
    <w:qFormat/>
    <w:rsid w:val="009433a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99101e"/>
    <w:pPr>
      <w:spacing w:before="0" w:after="16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670cae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odyText2">
    <w:name w:val="Body Text 2"/>
    <w:basedOn w:val="Normal"/>
    <w:link w:val="21"/>
    <w:uiPriority w:val="99"/>
    <w:unhideWhenUsed/>
    <w:qFormat/>
    <w:rsid w:val="00002714"/>
    <w:pPr>
      <w:spacing w:lineRule="auto" w:line="480" w:beforeAutospacing="1" w:afterAutospacing="1"/>
    </w:pPr>
    <w:rPr>
      <w:rFonts w:ascii="Calibri" w:hAnsi="Calibri" w:eastAsia="Times New Roman" w:cs="SimSun"/>
      <w:sz w:val="24"/>
      <w:szCs w:val="24"/>
      <w:lang w:eastAsia="ru-RU"/>
    </w:rPr>
  </w:style>
  <w:style w:type="paragraph" w:styleId="Default" w:customStyle="1">
    <w:name w:val="Default"/>
    <w:basedOn w:val="Normal"/>
    <w:qFormat/>
    <w:rsid w:val="00002714"/>
    <w:pPr>
      <w:spacing w:lineRule="auto" w:line="240" w:beforeAutospacing="1" w:afterAutospacing="1"/>
    </w:pPr>
    <w:rPr>
      <w:rFonts w:ascii="Times New Roman" w:hAnsi="Times New Roman" w:eastAsia="Calibri" w:cs="Times New Roman"/>
      <w:color w:val="000000"/>
      <w:sz w:val="24"/>
      <w:szCs w:val="24"/>
      <w:lang w:eastAsia="ru-RU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65710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65710c"/>
    <w:pPr/>
    <w:rPr>
      <w:b/>
      <w:bCs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65710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21190e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1190e"/>
    <w:pPr>
      <w:spacing w:before="0" w:after="100"/>
      <w:ind w:left="44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1190e"/>
    <w:pPr>
      <w:spacing w:before="0" w:after="100"/>
      <w:ind w:left="220"/>
    </w:pPr>
    <w:rPr/>
  </w:style>
  <w:style w:type="paragraph" w:styleId="TOC1">
    <w:name w:val="toc 1"/>
    <w:basedOn w:val="Normal"/>
    <w:next w:val="Normal"/>
    <w:autoRedefine/>
    <w:uiPriority w:val="39"/>
    <w:unhideWhenUsed/>
    <w:rsid w:val="0021190e"/>
    <w:pPr>
      <w:spacing w:before="0" w:after="100"/>
    </w:pPr>
    <w:rPr/>
  </w:style>
  <w:style w:type="paragraph" w:styleId="EndnoteText">
    <w:name w:val="endnote text"/>
    <w:basedOn w:val="Normal"/>
    <w:link w:val="Style14"/>
    <w:uiPriority w:val="99"/>
    <w:semiHidden/>
    <w:unhideWhenUsed/>
    <w:rsid w:val="00b6088e"/>
    <w:pPr>
      <w:spacing w:lineRule="auto" w:line="240" w:before="0" w:after="0"/>
    </w:pPr>
    <w:rPr>
      <w:sz w:val="20"/>
      <w:szCs w:val="20"/>
    </w:rPr>
  </w:style>
  <w:style w:type="paragraph" w:styleId="user7" w:customStyle="1">
    <w:name w:val="Содержимое врезки (user)"/>
    <w:basedOn w:val="Normal"/>
    <w:qFormat/>
    <w:pPr/>
    <w:rPr/>
  </w:style>
  <w:style w:type="paragraph" w:styleId="Style20" w:customStyle="1">
    <w:name w:val="Содержимое врезки"/>
    <w:basedOn w:val="Normal"/>
    <w:qFormat/>
    <w:pPr/>
    <w:rPr/>
  </w:style>
  <w:style w:type="paragraph" w:styleId="Style21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user8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9">
    <w:name w:val="Заголовок таблицы (user)"/>
    <w:basedOn w:val="user8"/>
    <w:qFormat/>
    <w:pPr>
      <w:suppressLineNumbers/>
      <w:jc w:val="center"/>
    </w:pPr>
    <w:rPr>
      <w:b/>
      <w:bCs/>
    </w:rPr>
  </w:style>
  <w:style w:type="numbering" w:styleId="user10" w:customStyle="1">
    <w:name w:val="Без списка (user)"/>
    <w:uiPriority w:val="99"/>
    <w:semiHidden/>
    <w:unhideWhenUsed/>
    <w:qFormat/>
  </w:style>
  <w:style w:type="numbering" w:styleId="user11">
    <w:name w:val="Маркированный • (user)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1"/>
    <w:uiPriority w:val="39"/>
    <w:rsid w:val="00002714"/>
    <w:rPr>
      <w:lang w:eastAsia="ru-RU"/>
      <w:sz w:val="20"/>
      <w:szCs w:val="20"/>
    </w:rPr>
    <w:tblPr>
      <w:tblCellMar>
        <w:left w:w="0" w:type="dxa"/>
        <w:right w:w="0" w:type="dxa"/>
      </w:tblCellMar>
    </w:tblPr>
  </w:style>
  <w:style w:type="table" w:styleId="aff1">
    <w:name w:val="Grid Table Light"/>
    <w:basedOn w:val="a1"/>
    <w:uiPriority w:val="40"/>
    <w:rsid w:val="00002714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styleId="-1">
    <w:name w:val="Grid Table 1 Light"/>
    <w:basedOn w:val="a1"/>
    <w:uiPriority w:val="46"/>
    <w:rsid w:val="00002714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8D0DE-F24C-4D76-989A-0E52CE883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5336</TotalTime>
  <Application>LibreOffice/25.2.3.2$Linux_X86_64 LibreOffice_project/520$Build-2</Application>
  <AppVersion>15.0000</AppVersion>
  <Pages>29</Pages>
  <Words>3142</Words>
  <Characters>24024</Characters>
  <CharactersWithSpaces>27002</CharactersWithSpaces>
  <Paragraphs>268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2025-04-14T06:59:00Z</dcterms:created>
  <dc:creator>Alina Malina</dc:creator>
  <dc:description/>
  <dc:language>ru-RU</dc:language>
  <cp:lastModifiedBy/>
  <dcterms:modified xsi:type="dcterms:W3CDTF">2026-02-28T02:32:37Z</dcterms:modified>
  <cp:revision>333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