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C67" w:rsidRDefault="00814C67">
      <w:pPr>
        <w:rPr>
          <w:rFonts w:ascii="Times New Roman" w:hAnsi="Times New Roman" w:cs="Times New Roman"/>
          <w:b/>
        </w:rPr>
      </w:pPr>
      <w:r>
        <w:rPr>
          <w:rFonts w:ascii="Times New Roman" w:hAnsi="Times New Roman" w:cs="Times New Roman" w:hint="eastAsia"/>
          <w:b/>
        </w:rPr>
        <w:t>Abstract</w:t>
      </w:r>
    </w:p>
    <w:p w:rsidR="00814C67" w:rsidRDefault="00A421E2" w:rsidP="00A421E2">
      <w:pPr>
        <w:rPr>
          <w:rFonts w:ascii="Times New Roman" w:hAnsi="Times New Roman" w:cs="Times New Roman"/>
        </w:rPr>
      </w:pPr>
      <w:r>
        <w:rPr>
          <w:rFonts w:ascii="Times New Roman" w:hAnsi="Times New Roman" w:cs="Times New Roman"/>
        </w:rPr>
        <w:t xml:space="preserve">Submarine canyon </w:t>
      </w:r>
      <w:r>
        <w:rPr>
          <w:rFonts w:ascii="Times New Roman" w:hAnsi="Times New Roman" w:cs="Times New Roman" w:hint="eastAsia"/>
        </w:rPr>
        <w:t>d</w:t>
      </w:r>
      <w:r>
        <w:rPr>
          <w:rFonts w:ascii="Times New Roman" w:hAnsi="Times New Roman" w:cs="Times New Roman"/>
        </w:rPr>
        <w:t xml:space="preserve">irectly links continental shelfs with deep-sea plains through transporting </w:t>
      </w:r>
      <w:r w:rsidRPr="0053611F">
        <w:rPr>
          <w:rFonts w:ascii="Times New Roman" w:hAnsi="Times New Roman" w:cs="Times New Roman"/>
        </w:rPr>
        <w:t xml:space="preserve">sediments </w:t>
      </w:r>
      <w:r>
        <w:rPr>
          <w:rFonts w:ascii="Times New Roman" w:hAnsi="Times New Roman" w:cs="Times New Roman"/>
        </w:rPr>
        <w:t>and organic matters (OM)</w:t>
      </w:r>
      <w:r w:rsidR="009C382B">
        <w:rPr>
          <w:rFonts w:ascii="Times New Roman" w:hAnsi="Times New Roman" w:cs="Times New Roman"/>
        </w:rPr>
        <w:t>;</w:t>
      </w:r>
      <w:r>
        <w:rPr>
          <w:rFonts w:ascii="Times New Roman" w:hAnsi="Times New Roman" w:cs="Times New Roman"/>
        </w:rPr>
        <w:t xml:space="preserve"> as a result, it plays an important role in providing energy to the food-deprived deep sea ecosystem. The Gaoping submarine canyon (GPSC) </w:t>
      </w:r>
      <w:r w:rsidRPr="00050D67">
        <w:rPr>
          <w:rFonts w:ascii="Times New Roman" w:hAnsi="Times New Roman" w:cs="Times New Roman"/>
        </w:rPr>
        <w:t>off southwestern Taiwan</w:t>
      </w:r>
      <w:r>
        <w:rPr>
          <w:rFonts w:ascii="Times New Roman" w:hAnsi="Times New Roman" w:cs="Times New Roman"/>
        </w:rPr>
        <w:t xml:space="preserve"> connects </w:t>
      </w:r>
      <w:r w:rsidRPr="0053611F">
        <w:rPr>
          <w:rFonts w:ascii="Times New Roman" w:hAnsi="Times New Roman" w:cs="Times New Roman"/>
        </w:rPr>
        <w:t>the Gaoping River</w:t>
      </w:r>
      <w:r>
        <w:rPr>
          <w:rFonts w:ascii="Times New Roman" w:hAnsi="Times New Roman" w:cs="Times New Roman"/>
        </w:rPr>
        <w:t xml:space="preserve"> to deep </w:t>
      </w:r>
      <w:r w:rsidRPr="0000111F">
        <w:rPr>
          <w:rFonts w:ascii="Times New Roman" w:hAnsi="Times New Roman" w:cs="Times New Roman"/>
        </w:rPr>
        <w:t>South China Sea</w:t>
      </w:r>
      <w:r w:rsidR="00650631">
        <w:rPr>
          <w:rFonts w:ascii="Times New Roman" w:hAnsi="Times New Roman" w:cs="Times New Roman"/>
        </w:rPr>
        <w:t xml:space="preserve"> (SCS)</w:t>
      </w:r>
      <w:r>
        <w:rPr>
          <w:rFonts w:ascii="Times New Roman" w:hAnsi="Times New Roman" w:cs="Times New Roman"/>
        </w:rPr>
        <w:t>, carrying massive fluxes</w:t>
      </w:r>
      <w:r w:rsidR="009C382B">
        <w:rPr>
          <w:rFonts w:ascii="Times New Roman" w:hAnsi="Times New Roman" w:cs="Times New Roman"/>
        </w:rPr>
        <w:t xml:space="preserve"> of </w:t>
      </w:r>
      <w:r w:rsidR="009C382B" w:rsidRPr="0000111F">
        <w:rPr>
          <w:rFonts w:ascii="Times New Roman" w:hAnsi="Times New Roman" w:cs="Times New Roman"/>
        </w:rPr>
        <w:t>14-49 MT</w:t>
      </w:r>
      <w:r>
        <w:rPr>
          <w:rFonts w:ascii="Times New Roman" w:hAnsi="Times New Roman" w:cs="Times New Roman"/>
        </w:rPr>
        <w:t xml:space="preserve"> sediments every year</w:t>
      </w:r>
      <w:r w:rsidR="009C382B">
        <w:rPr>
          <w:rFonts w:ascii="Times New Roman" w:hAnsi="Times New Roman" w:cs="Times New Roman"/>
        </w:rPr>
        <w:t xml:space="preserve"> (Hsu et al., 2014)</w:t>
      </w:r>
      <w:r>
        <w:rPr>
          <w:rFonts w:ascii="Times New Roman" w:hAnsi="Times New Roman" w:cs="Times New Roman"/>
        </w:rPr>
        <w:t>.</w:t>
      </w:r>
      <w:r w:rsidR="0055108F">
        <w:rPr>
          <w:rFonts w:ascii="Times New Roman" w:hAnsi="Times New Roman" w:cs="Times New Roman"/>
        </w:rPr>
        <w:t xml:space="preserve"> While previous studi</w:t>
      </w:r>
      <w:r w:rsidR="003666D2">
        <w:rPr>
          <w:rFonts w:ascii="Times New Roman" w:hAnsi="Times New Roman" w:cs="Times New Roman"/>
        </w:rPr>
        <w:t>es suggested that most of the organic carbon (OC)</w:t>
      </w:r>
      <w:r w:rsidR="0055108F">
        <w:rPr>
          <w:rFonts w:ascii="Times New Roman" w:hAnsi="Times New Roman" w:cs="Times New Roman"/>
        </w:rPr>
        <w:t xml:space="preserve"> is ex</w:t>
      </w:r>
      <w:r w:rsidR="00650631">
        <w:rPr>
          <w:rFonts w:ascii="Times New Roman" w:hAnsi="Times New Roman" w:cs="Times New Roman"/>
        </w:rPr>
        <w:t xml:space="preserve">ported down </w:t>
      </w:r>
      <w:r w:rsidR="009018C7">
        <w:rPr>
          <w:rFonts w:ascii="Times New Roman" w:hAnsi="Times New Roman" w:cs="Times New Roman"/>
        </w:rPr>
        <w:t xml:space="preserve">through </w:t>
      </w:r>
      <w:r w:rsidR="00650631">
        <w:rPr>
          <w:rFonts w:ascii="Times New Roman" w:hAnsi="Times New Roman" w:cs="Times New Roman"/>
        </w:rPr>
        <w:t>GPSC and buried into SCS, this view completely ignores the biological function of sediment benthos.</w:t>
      </w:r>
    </w:p>
    <w:p w:rsidR="00B43340" w:rsidRPr="009018C7" w:rsidRDefault="003F3972" w:rsidP="009018C7">
      <w:pPr>
        <w:rPr>
          <w:rFonts w:ascii="Times New Roman" w:hAnsi="Times New Roman" w:cs="Times New Roman"/>
        </w:rPr>
      </w:pPr>
      <w:r>
        <w:rPr>
          <w:rFonts w:ascii="Times New Roman" w:hAnsi="Times New Roman" w:cs="Times New Roman"/>
        </w:rPr>
        <w:t xml:space="preserve">In this study, we </w:t>
      </w:r>
      <w:r w:rsidR="00B43340">
        <w:rPr>
          <w:rFonts w:ascii="Times New Roman" w:hAnsi="Times New Roman" w:cs="Times New Roman"/>
        </w:rPr>
        <w:t xml:space="preserve">measured </w:t>
      </w:r>
      <w:r w:rsidR="001C13FB">
        <w:rPr>
          <w:rFonts w:ascii="Times New Roman" w:hAnsi="Times New Roman" w:cs="Times New Roman"/>
        </w:rPr>
        <w:t xml:space="preserve">both of </w:t>
      </w:r>
      <w:r w:rsidR="00B43340">
        <w:rPr>
          <w:rFonts w:ascii="Times New Roman" w:hAnsi="Times New Roman" w:cs="Times New Roman"/>
        </w:rPr>
        <w:t xml:space="preserve">the standing </w:t>
      </w:r>
      <w:r w:rsidR="0054133D">
        <w:rPr>
          <w:rFonts w:ascii="Times New Roman" w:hAnsi="Times New Roman" w:cs="Times New Roman"/>
        </w:rPr>
        <w:t>stocks of living</w:t>
      </w:r>
      <w:r w:rsidR="001C13FB">
        <w:rPr>
          <w:rFonts w:ascii="Times New Roman" w:hAnsi="Times New Roman" w:cs="Times New Roman"/>
        </w:rPr>
        <w:t xml:space="preserve"> (i.e. biomass of benthos) and no non-living components (i.e.</w:t>
      </w:r>
      <w:r w:rsidR="003666D2">
        <w:rPr>
          <w:rFonts w:ascii="Times New Roman" w:hAnsi="Times New Roman" w:cs="Times New Roman"/>
        </w:rPr>
        <w:t xml:space="preserve"> detritus OC).</w:t>
      </w:r>
      <w:r w:rsidR="002B0A85">
        <w:rPr>
          <w:rFonts w:ascii="Times New Roman" w:hAnsi="Times New Roman" w:cs="Times New Roman"/>
        </w:rPr>
        <w:t xml:space="preserve"> Also, s</w:t>
      </w:r>
      <w:r w:rsidR="003666D2">
        <w:rPr>
          <w:rFonts w:ascii="Times New Roman" w:hAnsi="Times New Roman" w:cs="Times New Roman"/>
        </w:rPr>
        <w:t xml:space="preserve">ediment community oxygen consumption (SCOC) </w:t>
      </w:r>
      <w:r w:rsidR="002B0A85">
        <w:rPr>
          <w:rFonts w:ascii="Times New Roman" w:hAnsi="Times New Roman" w:cs="Times New Roman"/>
        </w:rPr>
        <w:t xml:space="preserve">were measured in both in-situ and ship-board incubation. Combining the estimated fluxes of particle organic carbon (POC) input and OC burial, </w:t>
      </w:r>
      <w:r w:rsidR="00B07FA6">
        <w:rPr>
          <w:rFonts w:ascii="Times New Roman" w:hAnsi="Times New Roman" w:cs="Times New Roman"/>
        </w:rPr>
        <w:t xml:space="preserve">we </w:t>
      </w:r>
      <w:r w:rsidR="009018C7">
        <w:rPr>
          <w:rFonts w:ascii="Times New Roman" w:hAnsi="Times New Roman" w:cs="Times New Roman"/>
        </w:rPr>
        <w:t xml:space="preserve">can construct benthic predator-prey relationships with </w:t>
      </w:r>
      <w:r w:rsidR="009018C7" w:rsidRPr="009018C7">
        <w:rPr>
          <w:rFonts w:ascii="Times New Roman" w:hAnsi="Times New Roman" w:cs="Times New Roman"/>
        </w:rPr>
        <w:t xml:space="preserve">carbon flows </w:t>
      </w:r>
      <w:r w:rsidR="009018C7">
        <w:rPr>
          <w:rFonts w:ascii="Times New Roman" w:hAnsi="Times New Roman" w:cs="Times New Roman"/>
        </w:rPr>
        <w:t>by l</w:t>
      </w:r>
      <w:r w:rsidR="009018C7" w:rsidRPr="009018C7">
        <w:rPr>
          <w:rFonts w:ascii="Times New Roman" w:hAnsi="Times New Roman" w:cs="Times New Roman"/>
        </w:rPr>
        <w:t>inear inverse model (LIM)</w:t>
      </w:r>
      <w:r w:rsidR="009018C7">
        <w:rPr>
          <w:rFonts w:ascii="Times New Roman" w:hAnsi="Times New Roman" w:cs="Times New Roman"/>
        </w:rPr>
        <w:t xml:space="preserve">. </w:t>
      </w:r>
      <w:r w:rsidR="009018C7" w:rsidRPr="005714DA">
        <w:rPr>
          <w:rFonts w:ascii="Times New Roman" w:hAnsi="Times New Roman" w:cs="Times New Roman"/>
        </w:rPr>
        <w:t xml:space="preserve">We expect that carbon cycling in the </w:t>
      </w:r>
      <w:r w:rsidR="009018C7">
        <w:rPr>
          <w:rFonts w:ascii="Times New Roman" w:hAnsi="Times New Roman" w:cs="Times New Roman"/>
        </w:rPr>
        <w:t xml:space="preserve">GPSC </w:t>
      </w:r>
      <w:r w:rsidR="009018C7" w:rsidRPr="005714DA">
        <w:rPr>
          <w:rFonts w:ascii="Times New Roman" w:hAnsi="Times New Roman" w:cs="Times New Roman"/>
        </w:rPr>
        <w:t xml:space="preserve">would be drastically different from </w:t>
      </w:r>
      <w:r w:rsidR="009018C7">
        <w:rPr>
          <w:rFonts w:ascii="Times New Roman" w:hAnsi="Times New Roman" w:cs="Times New Roman"/>
        </w:rPr>
        <w:t>other studied sites</w:t>
      </w:r>
      <w:r w:rsidR="009018C7" w:rsidRPr="005714DA">
        <w:rPr>
          <w:rFonts w:ascii="Times New Roman" w:hAnsi="Times New Roman" w:cs="Times New Roman"/>
        </w:rPr>
        <w:t xml:space="preserve"> due to the high energy settings of GPSC (Liu et al., 2013; 2016) and peculiar biological conditions (Chen 2018; Liao et al., 2017; 2020). </w:t>
      </w:r>
      <w:r w:rsidR="009018C7" w:rsidRPr="009018C7">
        <w:rPr>
          <w:rFonts w:ascii="Times New Roman" w:hAnsi="Times New Roman" w:cs="Times New Roman"/>
        </w:rPr>
        <w:t xml:space="preserve"> </w:t>
      </w:r>
    </w:p>
    <w:p w:rsidR="003865A9" w:rsidRDefault="003865A9">
      <w:pPr>
        <w:rPr>
          <w:rFonts w:ascii="Times New Roman" w:hAnsi="Times New Roman" w:cs="Times New Roman"/>
        </w:rPr>
      </w:pPr>
    </w:p>
    <w:p w:rsidR="0053611F" w:rsidRPr="00814C67" w:rsidRDefault="005C65C7">
      <w:pPr>
        <w:rPr>
          <w:rFonts w:ascii="Times New Roman" w:hAnsi="Times New Roman" w:cs="Times New Roman"/>
          <w:b/>
        </w:rPr>
      </w:pPr>
      <w:r w:rsidRPr="00814C67">
        <w:rPr>
          <w:rFonts w:ascii="Times New Roman" w:hAnsi="Times New Roman" w:cs="Times New Roman" w:hint="eastAsia"/>
          <w:b/>
        </w:rPr>
        <w:t>Introduction</w:t>
      </w:r>
    </w:p>
    <w:p w:rsidR="005C65C7" w:rsidRDefault="0053611F" w:rsidP="00B54574">
      <w:pPr>
        <w:rPr>
          <w:rFonts w:ascii="Times New Roman" w:hAnsi="Times New Roman" w:cs="Times New Roman"/>
        </w:rPr>
      </w:pPr>
      <w:r w:rsidRPr="0053611F">
        <w:rPr>
          <w:rFonts w:ascii="Times New Roman" w:hAnsi="Times New Roman" w:cs="Times New Roman"/>
        </w:rPr>
        <w:t>Submarine canyons are</w:t>
      </w:r>
      <w:r w:rsidR="00EB43FA" w:rsidRPr="00EB43FA">
        <w:t xml:space="preserve"> </w:t>
      </w:r>
      <w:r w:rsidR="00EB43FA" w:rsidRPr="00EB43FA">
        <w:rPr>
          <w:rFonts w:ascii="Times New Roman" w:hAnsi="Times New Roman" w:cs="Times New Roman"/>
        </w:rPr>
        <w:t>steep-sided valley</w:t>
      </w:r>
      <w:r w:rsidR="00EB43FA">
        <w:rPr>
          <w:rFonts w:ascii="Times New Roman" w:hAnsi="Times New Roman" w:cs="Times New Roman"/>
        </w:rPr>
        <w:t>s</w:t>
      </w:r>
      <w:r w:rsidR="00EB43FA" w:rsidRPr="00EB43FA">
        <w:rPr>
          <w:rFonts w:ascii="Times New Roman" w:hAnsi="Times New Roman" w:cs="Times New Roman"/>
        </w:rPr>
        <w:t xml:space="preserve"> </w:t>
      </w:r>
      <w:r w:rsidR="00EB43FA">
        <w:rPr>
          <w:rFonts w:ascii="Times New Roman" w:hAnsi="Times New Roman" w:cs="Times New Roman"/>
        </w:rPr>
        <w:t xml:space="preserve">which </w:t>
      </w:r>
      <w:r w:rsidR="00EB43FA" w:rsidRPr="00EB43FA">
        <w:rPr>
          <w:rFonts w:ascii="Times New Roman" w:hAnsi="Times New Roman" w:cs="Times New Roman"/>
        </w:rPr>
        <w:t>cut into the seabe</w:t>
      </w:r>
      <w:r w:rsidR="00EB43FA">
        <w:rPr>
          <w:rFonts w:ascii="Times New Roman" w:hAnsi="Times New Roman" w:cs="Times New Roman"/>
        </w:rPr>
        <w:t>d of continental margin</w:t>
      </w:r>
      <w:r w:rsidR="005C65C7">
        <w:rPr>
          <w:rFonts w:ascii="Times New Roman" w:hAnsi="Times New Roman" w:cs="Times New Roman"/>
        </w:rPr>
        <w:t>s</w:t>
      </w:r>
      <w:r w:rsidR="00EB43FA">
        <w:rPr>
          <w:rFonts w:ascii="Times New Roman" w:hAnsi="Times New Roman" w:cs="Times New Roman"/>
        </w:rPr>
        <w:t xml:space="preserve">, </w:t>
      </w:r>
      <w:r w:rsidR="00EB43FA">
        <w:rPr>
          <w:rFonts w:ascii="Times New Roman" w:hAnsi="Times New Roman" w:cs="Times New Roman" w:hint="eastAsia"/>
        </w:rPr>
        <w:t>d</w:t>
      </w:r>
      <w:r w:rsidR="00EB43FA">
        <w:rPr>
          <w:rFonts w:ascii="Times New Roman" w:hAnsi="Times New Roman" w:cs="Times New Roman"/>
        </w:rPr>
        <w:t xml:space="preserve">irectly linking continental shelfs with deep-sea plains by transporting </w:t>
      </w:r>
      <w:r w:rsidRPr="0053611F">
        <w:rPr>
          <w:rFonts w:ascii="Times New Roman" w:hAnsi="Times New Roman" w:cs="Times New Roman"/>
        </w:rPr>
        <w:t>terrestrial and marine</w:t>
      </w:r>
      <w:r>
        <w:rPr>
          <w:rFonts w:ascii="Times New Roman" w:hAnsi="Times New Roman" w:cs="Times New Roman"/>
        </w:rPr>
        <w:t xml:space="preserve"> </w:t>
      </w:r>
      <w:r w:rsidRPr="0053611F">
        <w:rPr>
          <w:rFonts w:ascii="Times New Roman" w:hAnsi="Times New Roman" w:cs="Times New Roman"/>
        </w:rPr>
        <w:t xml:space="preserve">sediments </w:t>
      </w:r>
      <w:r w:rsidR="00EB43FA">
        <w:rPr>
          <w:rFonts w:ascii="Times New Roman" w:hAnsi="Times New Roman" w:cs="Times New Roman"/>
        </w:rPr>
        <w:t xml:space="preserve">and organic matters (OM) </w:t>
      </w:r>
      <w:r w:rsidRPr="0053611F">
        <w:rPr>
          <w:rFonts w:ascii="Times New Roman" w:hAnsi="Times New Roman" w:cs="Times New Roman"/>
        </w:rPr>
        <w:t>(</w:t>
      </w:r>
      <w:r w:rsidR="004526A8" w:rsidRPr="004526A8">
        <w:rPr>
          <w:rFonts w:ascii="Times New Roman" w:hAnsi="Times New Roman" w:cs="Times New Roman"/>
        </w:rPr>
        <w:t>Vetter and Dayton, 1999</w:t>
      </w:r>
      <w:r w:rsidR="004526A8">
        <w:rPr>
          <w:rFonts w:ascii="Times New Roman" w:hAnsi="Times New Roman" w:cs="Times New Roman"/>
        </w:rPr>
        <w:t>; Epping et al., 2002; Canals et al., 2006;</w:t>
      </w:r>
      <w:r w:rsidR="004526A8" w:rsidRPr="004526A8">
        <w:rPr>
          <w:rFonts w:ascii="Times New Roman" w:hAnsi="Times New Roman" w:cs="Times New Roman"/>
        </w:rPr>
        <w:t xml:space="preserve"> de Stigter et al., 2007</w:t>
      </w:r>
      <w:r w:rsidR="004526A8">
        <w:rPr>
          <w:rFonts w:ascii="Times New Roman" w:hAnsi="Times New Roman" w:cs="Times New Roman"/>
        </w:rPr>
        <w:t>;</w:t>
      </w:r>
      <w:r w:rsidR="004526A8" w:rsidRPr="004526A8">
        <w:rPr>
          <w:rFonts w:ascii="Times New Roman" w:hAnsi="Times New Roman" w:cs="Times New Roman"/>
        </w:rPr>
        <w:t xml:space="preserve"> </w:t>
      </w:r>
      <w:r w:rsidR="004526A8" w:rsidRPr="0053611F">
        <w:rPr>
          <w:rFonts w:ascii="Times New Roman" w:hAnsi="Times New Roman" w:cs="Times New Roman"/>
        </w:rPr>
        <w:t>Harris and Whiteway, 2011</w:t>
      </w:r>
      <w:r w:rsidR="004526A8" w:rsidRPr="004526A8">
        <w:rPr>
          <w:rFonts w:ascii="Times New Roman" w:hAnsi="Times New Roman" w:cs="Times New Roman"/>
        </w:rPr>
        <w:t>)</w:t>
      </w:r>
      <w:r w:rsidRPr="0053611F">
        <w:rPr>
          <w:rFonts w:ascii="Times New Roman" w:hAnsi="Times New Roman" w:cs="Times New Roman"/>
        </w:rPr>
        <w:t>; therefore,</w:t>
      </w:r>
      <w:r>
        <w:rPr>
          <w:rFonts w:ascii="Times New Roman" w:hAnsi="Times New Roman" w:cs="Times New Roman"/>
        </w:rPr>
        <w:t xml:space="preserve"> </w:t>
      </w:r>
      <w:r w:rsidRPr="0053611F">
        <w:rPr>
          <w:rFonts w:ascii="Times New Roman" w:hAnsi="Times New Roman" w:cs="Times New Roman"/>
        </w:rPr>
        <w:t>t</w:t>
      </w:r>
      <w:r w:rsidR="0099220B">
        <w:rPr>
          <w:rFonts w:ascii="Times New Roman" w:hAnsi="Times New Roman" w:cs="Times New Roman"/>
        </w:rPr>
        <w:t>he transport</w:t>
      </w:r>
      <w:r w:rsidR="005D1921">
        <w:rPr>
          <w:rFonts w:ascii="Times New Roman" w:hAnsi="Times New Roman" w:cs="Times New Roman"/>
        </w:rPr>
        <w:t>ation</w:t>
      </w:r>
      <w:r w:rsidR="0099220B">
        <w:rPr>
          <w:rFonts w:ascii="Times New Roman" w:hAnsi="Times New Roman" w:cs="Times New Roman"/>
        </w:rPr>
        <w:t xml:space="preserve"> and accumulation</w:t>
      </w:r>
      <w:r w:rsidR="005D1921">
        <w:rPr>
          <w:rFonts w:ascii="Times New Roman" w:hAnsi="Times New Roman" w:cs="Times New Roman"/>
        </w:rPr>
        <w:t xml:space="preserve"> of</w:t>
      </w:r>
      <w:r w:rsidR="0099220B">
        <w:rPr>
          <w:rFonts w:ascii="Times New Roman" w:hAnsi="Times New Roman" w:cs="Times New Roman"/>
        </w:rPr>
        <w:t xml:space="preserve"> OM</w:t>
      </w:r>
      <w:r w:rsidRPr="0053611F">
        <w:rPr>
          <w:rFonts w:ascii="Times New Roman" w:hAnsi="Times New Roman" w:cs="Times New Roman"/>
        </w:rPr>
        <w:t xml:space="preserve"> through or in the</w:t>
      </w:r>
      <w:r>
        <w:rPr>
          <w:rFonts w:ascii="Times New Roman" w:hAnsi="Times New Roman" w:cs="Times New Roman"/>
        </w:rPr>
        <w:t xml:space="preserve"> </w:t>
      </w:r>
      <w:r w:rsidRPr="0053611F">
        <w:rPr>
          <w:rFonts w:ascii="Times New Roman" w:hAnsi="Times New Roman" w:cs="Times New Roman"/>
        </w:rPr>
        <w:t>canyon may provide essential energy to</w:t>
      </w:r>
      <w:r w:rsidR="005D1921">
        <w:rPr>
          <w:rFonts w:ascii="Times New Roman" w:hAnsi="Times New Roman" w:cs="Times New Roman"/>
        </w:rPr>
        <w:t xml:space="preserve"> the undernourished</w:t>
      </w:r>
      <w:r>
        <w:rPr>
          <w:rFonts w:ascii="Times New Roman" w:hAnsi="Times New Roman" w:cs="Times New Roman"/>
        </w:rPr>
        <w:t xml:space="preserve"> </w:t>
      </w:r>
      <w:r w:rsidRPr="0053611F">
        <w:rPr>
          <w:rFonts w:ascii="Times New Roman" w:hAnsi="Times New Roman" w:cs="Times New Roman"/>
        </w:rPr>
        <w:t>deep-sea ecosystem (Rex et al., 2006; Wei et al., 2010a).</w:t>
      </w:r>
      <w:r w:rsidR="00050D67">
        <w:rPr>
          <w:rFonts w:ascii="Times New Roman" w:hAnsi="Times New Roman" w:cs="Times New Roman"/>
        </w:rPr>
        <w:t xml:space="preserve"> </w:t>
      </w:r>
    </w:p>
    <w:p w:rsidR="00384433" w:rsidRPr="0000111F" w:rsidRDefault="00050D67" w:rsidP="00E61051">
      <w:pPr>
        <w:rPr>
          <w:rFonts w:ascii="Times New Roman" w:hAnsi="Times New Roman" w:cs="Times New Roman"/>
        </w:rPr>
      </w:pPr>
      <w:r w:rsidRPr="00050D67">
        <w:rPr>
          <w:rFonts w:ascii="Times New Roman" w:hAnsi="Times New Roman" w:cs="Times New Roman"/>
        </w:rPr>
        <w:t>The Gaoping submarine canyon (GPSC) off southwestern Taiwan</w:t>
      </w:r>
      <w:r w:rsidR="001C4670">
        <w:rPr>
          <w:rFonts w:ascii="Times New Roman" w:hAnsi="Times New Roman" w:cs="Times New Roman"/>
        </w:rPr>
        <w:t xml:space="preserve"> is nearly connected to </w:t>
      </w:r>
      <w:r w:rsidR="001C4670" w:rsidRPr="0053611F">
        <w:rPr>
          <w:rFonts w:ascii="Times New Roman" w:hAnsi="Times New Roman" w:cs="Times New Roman"/>
        </w:rPr>
        <w:t>the Gaoping River (GPR),</w:t>
      </w:r>
      <w:r w:rsidR="00B54574">
        <w:rPr>
          <w:rFonts w:ascii="Times New Roman" w:hAnsi="Times New Roman" w:cs="Times New Roman"/>
        </w:rPr>
        <w:t xml:space="preserve"> which</w:t>
      </w:r>
      <w:r w:rsidR="0000111F">
        <w:rPr>
          <w:rFonts w:ascii="Times New Roman" w:hAnsi="Times New Roman" w:cs="Times New Roman"/>
        </w:rPr>
        <w:t xml:space="preserve"> is reported to transport </w:t>
      </w:r>
      <w:r w:rsidR="0000111F" w:rsidRPr="0000111F">
        <w:rPr>
          <w:rFonts w:ascii="Times New Roman" w:hAnsi="Times New Roman" w:cs="Times New Roman"/>
        </w:rPr>
        <w:t>14-49 MT</w:t>
      </w:r>
      <w:r w:rsidR="0000111F">
        <w:rPr>
          <w:rFonts w:ascii="Times New Roman" w:hAnsi="Times New Roman" w:cs="Times New Roman"/>
        </w:rPr>
        <w:t xml:space="preserve"> sediments each year (Hsu et al., 2014).</w:t>
      </w:r>
      <w:r w:rsidR="005C65C7">
        <w:rPr>
          <w:rFonts w:ascii="Times New Roman" w:hAnsi="Times New Roman" w:cs="Times New Roman"/>
        </w:rPr>
        <w:t xml:space="preserve"> </w:t>
      </w:r>
      <w:r w:rsidR="00FA065C">
        <w:rPr>
          <w:rFonts w:ascii="Times New Roman" w:hAnsi="Times New Roman" w:cs="Times New Roman"/>
        </w:rPr>
        <w:t>M</w:t>
      </w:r>
      <w:r w:rsidR="00A94A91" w:rsidRPr="0000111F">
        <w:rPr>
          <w:rFonts w:ascii="Times New Roman" w:hAnsi="Times New Roman" w:cs="Times New Roman"/>
        </w:rPr>
        <w:t>ore than 27 g m</w:t>
      </w:r>
      <w:r w:rsidR="00A94A91" w:rsidRPr="0000111F">
        <w:rPr>
          <w:rFonts w:ascii="Times New Roman" w:hAnsi="Times New Roman" w:cs="Times New Roman"/>
          <w:vertAlign w:val="superscript"/>
        </w:rPr>
        <w:t xml:space="preserve">-2 </w:t>
      </w:r>
      <w:r w:rsidR="00A94A91" w:rsidRPr="0000111F">
        <w:rPr>
          <w:rFonts w:ascii="Times New Roman" w:hAnsi="Times New Roman" w:cs="Times New Roman"/>
        </w:rPr>
        <w:t>d</w:t>
      </w:r>
      <w:r w:rsidR="00A94A91" w:rsidRPr="0000111F">
        <w:rPr>
          <w:rFonts w:ascii="Times New Roman" w:hAnsi="Times New Roman" w:cs="Times New Roman"/>
          <w:vertAlign w:val="superscript"/>
        </w:rPr>
        <w:t>-1</w:t>
      </w:r>
      <w:r w:rsidR="00A94A91" w:rsidRPr="0000111F">
        <w:rPr>
          <w:rFonts w:ascii="Times New Roman" w:hAnsi="Times New Roman" w:cs="Times New Roman"/>
        </w:rPr>
        <w:t xml:space="preserve"> of sediments </w:t>
      </w:r>
      <w:r w:rsidR="00A94A91">
        <w:rPr>
          <w:rFonts w:ascii="Times New Roman" w:hAnsi="Times New Roman" w:cs="Times New Roman"/>
        </w:rPr>
        <w:t>are</w:t>
      </w:r>
      <w:r w:rsidR="00A94A91" w:rsidRPr="0000111F">
        <w:rPr>
          <w:rFonts w:ascii="Times New Roman" w:hAnsi="Times New Roman" w:cs="Times New Roman"/>
        </w:rPr>
        <w:t xml:space="preserve"> accumulated on the upper GPSC seafloor, which is approximately 4 to 270 times less than the mass flux measured from the sediment traps (Hsu et al., 2014; Huh et al., 2009).</w:t>
      </w:r>
      <w:r w:rsidR="00A94A91">
        <w:rPr>
          <w:rFonts w:ascii="Times New Roman" w:hAnsi="Times New Roman" w:cs="Times New Roman"/>
        </w:rPr>
        <w:t xml:space="preserve"> </w:t>
      </w:r>
      <w:r w:rsidR="00E61051">
        <w:rPr>
          <w:rFonts w:ascii="Times New Roman" w:hAnsi="Times New Roman" w:cs="Times New Roman"/>
        </w:rPr>
        <w:t xml:space="preserve">Previous studies suggested that if </w:t>
      </w:r>
      <w:r w:rsidR="00E61051" w:rsidRPr="0000111F">
        <w:rPr>
          <w:rFonts w:ascii="Times New Roman" w:hAnsi="Times New Roman" w:cs="Times New Roman"/>
        </w:rPr>
        <w:t>organic carbon (OC) in both estimates</w:t>
      </w:r>
      <w:r w:rsidR="00E61051">
        <w:rPr>
          <w:rFonts w:ascii="Times New Roman" w:hAnsi="Times New Roman" w:cs="Times New Roman"/>
        </w:rPr>
        <w:t xml:space="preserve"> are equal, </w:t>
      </w:r>
      <w:r w:rsidR="0000111F" w:rsidRPr="0000111F">
        <w:rPr>
          <w:rFonts w:ascii="Times New Roman" w:hAnsi="Times New Roman" w:cs="Times New Roman"/>
        </w:rPr>
        <w:t>most of the OC is likely exported down the</w:t>
      </w:r>
      <w:r w:rsidR="00E61051">
        <w:rPr>
          <w:rFonts w:ascii="Times New Roman" w:hAnsi="Times New Roman" w:cs="Times New Roman"/>
        </w:rPr>
        <w:t xml:space="preserve"> canyon</w:t>
      </w:r>
      <w:r w:rsidR="0000111F" w:rsidRPr="0000111F">
        <w:rPr>
          <w:rFonts w:ascii="Times New Roman" w:hAnsi="Times New Roman" w:cs="Times New Roman"/>
        </w:rPr>
        <w:t xml:space="preserve"> and buried in the deep South China Sea (Hsu et al., 2014; Kao et al., 2014; Liu et al., 201</w:t>
      </w:r>
      <w:r w:rsidR="00925325">
        <w:rPr>
          <w:rFonts w:ascii="Times New Roman" w:hAnsi="Times New Roman" w:cs="Times New Roman"/>
        </w:rPr>
        <w:t>3; 2016</w:t>
      </w:r>
      <w:r w:rsidR="00FA065C">
        <w:rPr>
          <w:rFonts w:ascii="Times New Roman" w:hAnsi="Times New Roman" w:cs="Times New Roman"/>
        </w:rPr>
        <w:t xml:space="preserve">). </w:t>
      </w:r>
      <w:r w:rsidR="0000111F" w:rsidRPr="0000111F">
        <w:rPr>
          <w:rFonts w:ascii="Times New Roman" w:hAnsi="Times New Roman" w:cs="Times New Roman"/>
        </w:rPr>
        <w:t>However,</w:t>
      </w:r>
      <w:r w:rsidR="00E61051">
        <w:rPr>
          <w:rFonts w:ascii="Times New Roman" w:hAnsi="Times New Roman" w:cs="Times New Roman"/>
        </w:rPr>
        <w:t xml:space="preserve"> this view completely ignores the </w:t>
      </w:r>
      <w:r w:rsidR="00B2166D">
        <w:rPr>
          <w:rFonts w:ascii="Times New Roman" w:hAnsi="Times New Roman" w:cs="Times New Roman"/>
        </w:rPr>
        <w:t xml:space="preserve">biological </w:t>
      </w:r>
      <w:r w:rsidR="00E61051">
        <w:rPr>
          <w:rFonts w:ascii="Times New Roman" w:hAnsi="Times New Roman" w:cs="Times New Roman"/>
        </w:rPr>
        <w:t xml:space="preserve">role of </w:t>
      </w:r>
      <w:r w:rsidR="00B2166D">
        <w:rPr>
          <w:rFonts w:ascii="Times New Roman" w:hAnsi="Times New Roman" w:cs="Times New Roman"/>
        </w:rPr>
        <w:t xml:space="preserve">sediment </w:t>
      </w:r>
      <w:r w:rsidR="00E61051">
        <w:rPr>
          <w:rFonts w:ascii="Times New Roman" w:hAnsi="Times New Roman" w:cs="Times New Roman"/>
        </w:rPr>
        <w:t xml:space="preserve">benthos, which </w:t>
      </w:r>
      <w:r w:rsidR="00B2166D">
        <w:rPr>
          <w:rFonts w:ascii="Times New Roman" w:hAnsi="Times New Roman" w:cs="Times New Roman"/>
        </w:rPr>
        <w:t>remineralize</w:t>
      </w:r>
      <w:r w:rsidR="00E61051">
        <w:rPr>
          <w:rFonts w:ascii="Times New Roman" w:hAnsi="Times New Roman" w:cs="Times New Roman"/>
        </w:rPr>
        <w:t xml:space="preserve"> OC through </w:t>
      </w:r>
      <w:r w:rsidR="0000111F" w:rsidRPr="0000111F">
        <w:rPr>
          <w:rFonts w:ascii="Times New Roman" w:hAnsi="Times New Roman" w:cs="Times New Roman"/>
        </w:rPr>
        <w:t>f</w:t>
      </w:r>
      <w:r w:rsidR="00E61051">
        <w:rPr>
          <w:rFonts w:ascii="Times New Roman" w:hAnsi="Times New Roman" w:cs="Times New Roman"/>
        </w:rPr>
        <w:t xml:space="preserve">eeding, burrowing, respiration, </w:t>
      </w:r>
      <w:r w:rsidR="0000111F" w:rsidRPr="0000111F">
        <w:rPr>
          <w:rFonts w:ascii="Times New Roman" w:hAnsi="Times New Roman" w:cs="Times New Roman"/>
        </w:rPr>
        <w:t>and predation</w:t>
      </w:r>
      <w:r w:rsidR="00B2166D">
        <w:rPr>
          <w:rFonts w:ascii="Times New Roman" w:hAnsi="Times New Roman" w:cs="Times New Roman"/>
        </w:rPr>
        <w:t xml:space="preserve"> and it may </w:t>
      </w:r>
      <w:r w:rsidR="00E61051">
        <w:rPr>
          <w:rFonts w:ascii="Times New Roman" w:hAnsi="Times New Roman" w:cs="Times New Roman"/>
        </w:rPr>
        <w:t>lead to</w:t>
      </w:r>
      <w:r w:rsidR="00B2166D">
        <w:rPr>
          <w:rFonts w:ascii="Times New Roman" w:hAnsi="Times New Roman" w:cs="Times New Roman"/>
        </w:rPr>
        <w:t xml:space="preserve"> mistaken </w:t>
      </w:r>
      <w:r w:rsidR="0000111F" w:rsidRPr="0000111F">
        <w:rPr>
          <w:rFonts w:ascii="Times New Roman" w:hAnsi="Times New Roman" w:cs="Times New Roman"/>
        </w:rPr>
        <w:t xml:space="preserve">estimates of the OC cycling </w:t>
      </w:r>
      <w:r w:rsidR="009A5794">
        <w:rPr>
          <w:rFonts w:ascii="Times New Roman" w:hAnsi="Times New Roman" w:cs="Times New Roman"/>
        </w:rPr>
        <w:t xml:space="preserve">on the seabed </w:t>
      </w:r>
      <w:r w:rsidR="0000111F" w:rsidRPr="0000111F">
        <w:rPr>
          <w:rFonts w:ascii="Times New Roman" w:hAnsi="Times New Roman" w:cs="Times New Roman"/>
        </w:rPr>
        <w:t xml:space="preserve">(Snelgrove et al., 2017).   </w:t>
      </w:r>
    </w:p>
    <w:p w:rsidR="001E7773" w:rsidRPr="005714DA" w:rsidRDefault="009C7C2A">
      <w:pPr>
        <w:rPr>
          <w:rFonts w:ascii="Times New Roman" w:hAnsi="Times New Roman" w:cs="Times New Roman"/>
        </w:rPr>
      </w:pPr>
      <w:r w:rsidRPr="005714DA">
        <w:rPr>
          <w:rFonts w:ascii="Times New Roman" w:hAnsi="Times New Roman" w:cs="Times New Roman"/>
        </w:rPr>
        <w:lastRenderedPageBreak/>
        <w:t>To the best of our knowledge, only two studies had attempted to construct comprehensive benthic carbon food web</w:t>
      </w:r>
      <w:r w:rsidR="009A5794">
        <w:rPr>
          <w:rFonts w:ascii="Times New Roman" w:hAnsi="Times New Roman" w:cs="Times New Roman"/>
        </w:rPr>
        <w:t>s</w:t>
      </w:r>
      <w:r w:rsidRPr="005714DA">
        <w:rPr>
          <w:rFonts w:ascii="Times New Roman" w:hAnsi="Times New Roman" w:cs="Times New Roman"/>
        </w:rPr>
        <w:t xml:space="preserve"> in the submarine canyons</w:t>
      </w:r>
      <w:r w:rsidR="00B20E1E" w:rsidRPr="005714DA">
        <w:rPr>
          <w:rFonts w:ascii="Times New Roman" w:hAnsi="Times New Roman" w:cs="Times New Roman"/>
        </w:rPr>
        <w:t xml:space="preserve"> to date</w:t>
      </w:r>
      <w:r w:rsidRPr="005714DA">
        <w:rPr>
          <w:rFonts w:ascii="Times New Roman" w:hAnsi="Times New Roman" w:cs="Times New Roman"/>
        </w:rPr>
        <w:t xml:space="preserve">. Rowe et al (2008) </w:t>
      </w:r>
      <w:r w:rsidR="00384433" w:rsidRPr="005714DA">
        <w:rPr>
          <w:rFonts w:ascii="Times New Roman" w:hAnsi="Times New Roman" w:cs="Times New Roman"/>
        </w:rPr>
        <w:t>constructed the biomass structure and estimated carbon flow</w:t>
      </w:r>
      <w:r w:rsidR="009A5794">
        <w:rPr>
          <w:rFonts w:ascii="Times New Roman" w:hAnsi="Times New Roman" w:cs="Times New Roman"/>
        </w:rPr>
        <w:t>s</w:t>
      </w:r>
      <w:r w:rsidR="00384433" w:rsidRPr="005714DA">
        <w:rPr>
          <w:rFonts w:ascii="Times New Roman" w:hAnsi="Times New Roman" w:cs="Times New Roman"/>
        </w:rPr>
        <w:t xml:space="preserve"> in food webs for 7 sites of the head of the Mississippi Canyon and the adjacent mid-slope in the northern</w:t>
      </w:r>
      <w:r w:rsidR="00EB32F0" w:rsidRPr="005714DA">
        <w:rPr>
          <w:rFonts w:ascii="Times New Roman" w:hAnsi="Times New Roman" w:cs="Times New Roman"/>
        </w:rPr>
        <w:t xml:space="preserve"> Gulf o</w:t>
      </w:r>
      <w:r w:rsidR="00B20E1E" w:rsidRPr="005714DA">
        <w:rPr>
          <w:rFonts w:ascii="Times New Roman" w:hAnsi="Times New Roman" w:cs="Times New Roman"/>
        </w:rPr>
        <w:t>f Mexico. On the other hand, carbon flows in food web models of 3 sections of the Nazare Canyon were constructed</w:t>
      </w:r>
      <w:r w:rsidR="001E7773" w:rsidRPr="005714DA">
        <w:rPr>
          <w:rFonts w:ascii="Times New Roman" w:hAnsi="Times New Roman" w:cs="Times New Roman"/>
        </w:rPr>
        <w:t xml:space="preserve"> by van Oevelen et al (2011). In the Gulf of Mexico, </w:t>
      </w:r>
    </w:p>
    <w:p w:rsidR="001E7773" w:rsidRDefault="001E7773">
      <w:pPr>
        <w:rPr>
          <w:rFonts w:ascii="Times New Roman" w:hAnsi="Times New Roman" w:cs="Times New Roman"/>
        </w:rPr>
      </w:pPr>
    </w:p>
    <w:p w:rsidR="00151350" w:rsidRDefault="00F13190">
      <w:pPr>
        <w:rPr>
          <w:rFonts w:ascii="Times New Roman" w:hAnsi="Times New Roman" w:cs="Times New Roman"/>
        </w:rPr>
      </w:pPr>
      <w:r>
        <w:rPr>
          <w:rFonts w:ascii="Times New Roman" w:hAnsi="Times New Roman" w:cs="Times New Roman"/>
        </w:rPr>
        <w:t xml:space="preserve">(Kelly-Gerreyn et al. 2014) </w:t>
      </w:r>
      <w:r w:rsidRPr="00F13190">
        <w:rPr>
          <w:rFonts w:ascii="Times New Roman" w:hAnsi="Times New Roman" w:cs="Times New Roman"/>
        </w:rPr>
        <w:t>A major challenge to understanding benthic ecology and carbon flow, especially in</w:t>
      </w:r>
      <w:r>
        <w:rPr>
          <w:rFonts w:ascii="Times New Roman" w:hAnsi="Times New Roman" w:cs="Times New Roman" w:hint="eastAsia"/>
        </w:rPr>
        <w:t xml:space="preserve"> </w:t>
      </w:r>
      <w:r w:rsidRPr="00F13190">
        <w:rPr>
          <w:rFonts w:ascii="Times New Roman" w:hAnsi="Times New Roman" w:cs="Times New Roman"/>
        </w:rPr>
        <w:t>the deep</w:t>
      </w:r>
      <w:r>
        <w:rPr>
          <w:rFonts w:ascii="Times New Roman" w:hAnsi="Times New Roman" w:cs="Times New Roman"/>
        </w:rPr>
        <w:t xml:space="preserve"> sea, is appropriate characteri</w:t>
      </w:r>
      <w:r>
        <w:rPr>
          <w:rFonts w:ascii="Times New Roman" w:hAnsi="Times New Roman" w:cs="Times New Roman" w:hint="eastAsia"/>
        </w:rPr>
        <w:t>z</w:t>
      </w:r>
      <w:r w:rsidRPr="00F13190">
        <w:rPr>
          <w:rFonts w:ascii="Times New Roman" w:hAnsi="Times New Roman" w:cs="Times New Roman"/>
        </w:rPr>
        <w:t>ation of both community composition and its</w:t>
      </w:r>
      <w:r>
        <w:rPr>
          <w:rFonts w:ascii="Times New Roman" w:hAnsi="Times New Roman" w:cs="Times New Roman" w:hint="eastAsia"/>
        </w:rPr>
        <w:t xml:space="preserve"> </w:t>
      </w:r>
      <w:r w:rsidRPr="00F13190">
        <w:rPr>
          <w:rFonts w:ascii="Times New Roman" w:hAnsi="Times New Roman" w:cs="Times New Roman"/>
        </w:rPr>
        <w:t xml:space="preserve">underlying dynamics. There now exists, however, </w:t>
      </w:r>
      <w:r w:rsidRPr="00F252D2">
        <w:rPr>
          <w:rFonts w:ascii="Times New Roman" w:hAnsi="Times New Roman" w:cs="Times New Roman"/>
          <w:highlight w:val="yellow"/>
        </w:rPr>
        <w:t>a large volume of body-sized based</w:t>
      </w:r>
      <w:r w:rsidRPr="00F252D2">
        <w:rPr>
          <w:rFonts w:ascii="Times New Roman" w:hAnsi="Times New Roman" w:cs="Times New Roman" w:hint="eastAsia"/>
          <w:highlight w:val="yellow"/>
        </w:rPr>
        <w:t xml:space="preserve"> </w:t>
      </w:r>
      <w:r w:rsidRPr="00F252D2">
        <w:rPr>
          <w:rFonts w:ascii="Times New Roman" w:hAnsi="Times New Roman" w:cs="Times New Roman"/>
          <w:highlight w:val="yellow"/>
        </w:rPr>
        <w:t>research suggesting that it may not be necessary to resort to characterizing food web</w:t>
      </w:r>
      <w:r w:rsidRPr="00F252D2">
        <w:rPr>
          <w:rFonts w:ascii="Times New Roman" w:hAnsi="Times New Roman" w:cs="Times New Roman" w:hint="eastAsia"/>
          <w:highlight w:val="yellow"/>
        </w:rPr>
        <w:t xml:space="preserve"> </w:t>
      </w:r>
      <w:r w:rsidRPr="00F252D2">
        <w:rPr>
          <w:rFonts w:ascii="Times New Roman" w:hAnsi="Times New Roman" w:cs="Times New Roman"/>
          <w:highlight w:val="yellow"/>
        </w:rPr>
        <w:t>complexity and differences in functional groups in order to determine energy flow in</w:t>
      </w:r>
      <w:r w:rsidRPr="00F252D2">
        <w:rPr>
          <w:rFonts w:ascii="Times New Roman" w:hAnsi="Times New Roman" w:cs="Times New Roman" w:hint="eastAsia"/>
          <w:highlight w:val="yellow"/>
        </w:rPr>
        <w:t xml:space="preserve"> </w:t>
      </w:r>
      <w:r w:rsidRPr="00F252D2">
        <w:rPr>
          <w:rFonts w:ascii="Times New Roman" w:hAnsi="Times New Roman" w:cs="Times New Roman"/>
          <w:highlight w:val="yellow"/>
        </w:rPr>
        <w:t>ecological communities</w:t>
      </w:r>
      <w:r w:rsidRPr="00F13190">
        <w:rPr>
          <w:rFonts w:ascii="Times New Roman" w:hAnsi="Times New Roman" w:cs="Times New Roman"/>
        </w:rPr>
        <w:t xml:space="preserve"> (e.g. Dickie et al., 1987).</w:t>
      </w:r>
    </w:p>
    <w:p w:rsidR="00151350" w:rsidRDefault="00151350">
      <w:pPr>
        <w:rPr>
          <w:rFonts w:ascii="Times New Roman" w:hAnsi="Times New Roman" w:cs="Times New Roman"/>
        </w:rPr>
      </w:pPr>
    </w:p>
    <w:p w:rsidR="00151350" w:rsidRPr="005714DA" w:rsidRDefault="00151350">
      <w:pPr>
        <w:rPr>
          <w:rFonts w:ascii="Times New Roman" w:hAnsi="Times New Roman" w:cs="Times New Roman"/>
        </w:rPr>
      </w:pPr>
    </w:p>
    <w:p w:rsidR="009C7C2A" w:rsidRDefault="003B77B9">
      <w:pPr>
        <w:rPr>
          <w:rFonts w:ascii="Times New Roman" w:hAnsi="Times New Roman" w:cs="Times New Roman"/>
        </w:rPr>
      </w:pPr>
      <w:r w:rsidRPr="005714DA">
        <w:rPr>
          <w:rFonts w:ascii="Times New Roman" w:hAnsi="Times New Roman" w:cs="Times New Roman"/>
        </w:rPr>
        <w:t>We highly expect that carbon cycling in the submarine canyons off the Southern West Taiwan would be drastically different from the two studied areas due to the high energy settings of GPSC (Liu et al., 2013; 2016) and peculiar biological conditions (Chen 2018; Liao et al., 2017; 2020).</w:t>
      </w:r>
      <w:r w:rsidR="00384433" w:rsidRPr="005714DA">
        <w:rPr>
          <w:rFonts w:ascii="Times New Roman" w:hAnsi="Times New Roman" w:cs="Times New Roman"/>
        </w:rPr>
        <w:t xml:space="preserve">  </w:t>
      </w:r>
    </w:p>
    <w:p w:rsidR="00D51B16" w:rsidRDefault="00D51B16">
      <w:pPr>
        <w:rPr>
          <w:rFonts w:ascii="Times New Roman" w:hAnsi="Times New Roman" w:cs="Times New Roman"/>
        </w:rPr>
      </w:pPr>
    </w:p>
    <w:p w:rsidR="00E21B33" w:rsidRDefault="00E21B33">
      <w:pPr>
        <w:rPr>
          <w:rFonts w:ascii="Times New Roman" w:hAnsi="Times New Roman" w:cs="Times New Roman"/>
        </w:rPr>
      </w:pPr>
    </w:p>
    <w:p w:rsidR="004A437D" w:rsidRDefault="00D51B16">
      <w:pPr>
        <w:rPr>
          <w:rFonts w:ascii="Times New Roman" w:hAnsi="Times New Roman" w:cs="Times New Roman"/>
          <w:b/>
        </w:rPr>
      </w:pPr>
      <w:r w:rsidRPr="00672A40">
        <w:rPr>
          <w:rFonts w:ascii="Times New Roman" w:hAnsi="Times New Roman" w:cs="Times New Roman" w:hint="eastAsia"/>
          <w:b/>
        </w:rPr>
        <w:t>Material and Method</w:t>
      </w:r>
    </w:p>
    <w:p w:rsidR="004A437D" w:rsidRDefault="004A437D">
      <w:pPr>
        <w:rPr>
          <w:rFonts w:ascii="Times New Roman" w:hAnsi="Times New Roman" w:cs="Times New Roman"/>
        </w:rPr>
      </w:pPr>
      <w:r>
        <w:rPr>
          <w:rFonts w:ascii="Times New Roman" w:hAnsi="Times New Roman" w:cs="Times New Roman"/>
        </w:rPr>
        <w:t>Sampling site selection:</w:t>
      </w:r>
    </w:p>
    <w:p w:rsidR="004A437D" w:rsidRDefault="004A437D">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採樣點地圖</w:t>
      </w:r>
    </w:p>
    <w:p w:rsidR="001937F2" w:rsidRPr="001937F2" w:rsidRDefault="004A437D" w:rsidP="004A437D">
      <w:pPr>
        <w:rPr>
          <w:rFonts w:ascii="Times New Roman" w:hAnsi="Times New Roman" w:cs="Times New Roman"/>
        </w:rPr>
      </w:pPr>
      <w:r>
        <w:rPr>
          <w:rFonts w:ascii="Times New Roman" w:hAnsi="Times New Roman" w:cs="Times New Roman"/>
        </w:rPr>
        <w:t>Standing stocks:</w:t>
      </w:r>
    </w:p>
    <w:p w:rsidR="001937F2" w:rsidRPr="001937F2" w:rsidRDefault="001937F2">
      <w:pPr>
        <w:rPr>
          <w:rFonts w:ascii="Times New Roman" w:hAnsi="Times New Roman" w:cs="Times New Roman"/>
        </w:rPr>
      </w:pPr>
      <w:r w:rsidRPr="001937F2">
        <w:rPr>
          <w:rFonts w:ascii="Times New Roman" w:hAnsi="Times New Roman" w:cs="Times New Roman"/>
        </w:rPr>
        <w:t>Calculate</w:t>
      </w:r>
      <w:r w:rsidR="004A437D">
        <w:rPr>
          <w:rFonts w:ascii="Times New Roman" w:hAnsi="Times New Roman" w:cs="Times New Roman"/>
        </w:rPr>
        <w:t xml:space="preserve"> biomass</w:t>
      </w:r>
      <w:r w:rsidRPr="001937F2">
        <w:rPr>
          <w:rFonts w:ascii="Times New Roman" w:hAnsi="Times New Roman" w:cs="Times New Roman"/>
        </w:rPr>
        <w:t xml:space="preserve"> stocks (</w:t>
      </w:r>
      <w:r w:rsidRPr="001937F2">
        <w:rPr>
          <w:rFonts w:ascii="Times New Roman" w:hAnsi="Times New Roman" w:cs="Times New Roman" w:hint="eastAsia"/>
        </w:rPr>
        <w:t>換算成</w:t>
      </w:r>
      <w:r w:rsidRPr="001937F2">
        <w:rPr>
          <w:rFonts w:ascii="Times New Roman" w:hAnsi="Times New Roman" w:cs="Times New Roman" w:hint="eastAsia"/>
        </w:rPr>
        <w:t>C(i</w:t>
      </w:r>
      <w:r w:rsidRPr="001937F2">
        <w:rPr>
          <w:rFonts w:ascii="Times New Roman" w:hAnsi="Times New Roman" w:cs="Times New Roman"/>
        </w:rPr>
        <w:t>n g/m</w:t>
      </w:r>
      <w:r w:rsidRPr="001937F2">
        <w:rPr>
          <w:rFonts w:ascii="Times New Roman" w:hAnsi="Times New Roman" w:cs="Times New Roman" w:hint="eastAsia"/>
          <w:vertAlign w:val="superscript"/>
        </w:rPr>
        <w:t>2</w:t>
      </w:r>
      <w:r w:rsidRPr="001937F2">
        <w:rPr>
          <w:rFonts w:ascii="Times New Roman" w:hAnsi="Times New Roman" w:cs="Times New Roman"/>
        </w:rPr>
        <w:t>)</w:t>
      </w:r>
    </w:p>
    <w:p w:rsidR="0086006A" w:rsidRDefault="004A437D" w:rsidP="004A437D">
      <w:pPr>
        <w:rPr>
          <w:rFonts w:ascii="Times New Roman" w:hAnsi="Times New Roman" w:cs="Times New Roman"/>
        </w:rPr>
      </w:pPr>
      <w:r w:rsidRPr="001937F2">
        <w:rPr>
          <w:rFonts w:ascii="Times New Roman" w:hAnsi="Times New Roman" w:cs="Times New Roman"/>
        </w:rPr>
        <w:t>Calculate</w:t>
      </w:r>
      <w:r>
        <w:rPr>
          <w:rFonts w:ascii="Times New Roman" w:hAnsi="Times New Roman" w:cs="Times New Roman"/>
        </w:rPr>
        <w:t xml:space="preserve"> detritus (organic carbon)</w:t>
      </w:r>
      <w:r w:rsidRPr="001937F2">
        <w:rPr>
          <w:rFonts w:ascii="Times New Roman" w:hAnsi="Times New Roman" w:cs="Times New Roman"/>
        </w:rPr>
        <w:t xml:space="preserve"> stocks</w:t>
      </w:r>
    </w:p>
    <w:p w:rsidR="004A437D" w:rsidRDefault="004A437D" w:rsidP="0086006A">
      <w:pPr>
        <w:rPr>
          <w:rFonts w:ascii="Times New Roman" w:hAnsi="Times New Roman" w:cs="Times New Roman"/>
        </w:rPr>
      </w:pPr>
    </w:p>
    <w:p w:rsidR="004A437D" w:rsidRDefault="004A437D" w:rsidP="0086006A">
      <w:pPr>
        <w:rPr>
          <w:rFonts w:ascii="Times New Roman" w:hAnsi="Times New Roman" w:cs="Times New Roman"/>
        </w:rPr>
      </w:pPr>
    </w:p>
    <w:p w:rsidR="004A437D" w:rsidRDefault="004A437D" w:rsidP="0086006A">
      <w:pPr>
        <w:rPr>
          <w:rFonts w:ascii="Times New Roman" w:hAnsi="Times New Roman" w:cs="Times New Roman"/>
        </w:rPr>
      </w:pPr>
    </w:p>
    <w:p w:rsidR="006E5D4A" w:rsidRDefault="0086006A" w:rsidP="0086006A">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rom reference</w:t>
      </w:r>
      <w:r>
        <w:rPr>
          <w:rFonts w:ascii="Times New Roman" w:hAnsi="Times New Roman" w:cs="Times New Roman" w:hint="eastAsia"/>
        </w:rPr>
        <w:t>:</w:t>
      </w:r>
    </w:p>
    <w:p w:rsidR="006E5D4A" w:rsidRDefault="006E5D4A">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physiological parameters</w:t>
      </w:r>
    </w:p>
    <w:p w:rsidR="0086006A" w:rsidRDefault="0086006A">
      <w:pPr>
        <w:rPr>
          <w:rFonts w:ascii="Times New Roman" w:hAnsi="Times New Roman" w:cs="Times New Roman"/>
        </w:rPr>
      </w:pPr>
      <w:r>
        <w:rPr>
          <w:rFonts w:ascii="Times New Roman" w:hAnsi="Times New Roman" w:cs="Times New Roman"/>
        </w:rPr>
        <w:t>-physical parameters</w:t>
      </w:r>
    </w:p>
    <w:p w:rsidR="006E5D4A" w:rsidRDefault="006E5D4A">
      <w:pPr>
        <w:rPr>
          <w:rFonts w:ascii="Times New Roman" w:hAnsi="Times New Roman" w:cs="Times New Roman"/>
        </w:rPr>
      </w:pPr>
    </w:p>
    <w:p w:rsidR="001937F2" w:rsidRPr="001937F2" w:rsidRDefault="001937F2">
      <w:pPr>
        <w:rPr>
          <w:rFonts w:ascii="Times New Roman" w:hAnsi="Times New Roman" w:cs="Times New Roman"/>
        </w:rPr>
      </w:pPr>
      <w:r w:rsidRPr="001937F2">
        <w:rPr>
          <w:rFonts w:ascii="Times New Roman" w:hAnsi="Times New Roman" w:cs="Times New Roman"/>
        </w:rPr>
        <w:t>Model</w:t>
      </w:r>
      <w:r w:rsidR="0086006A">
        <w:rPr>
          <w:rFonts w:ascii="Times New Roman" w:hAnsi="Times New Roman" w:cs="Times New Roman" w:hint="eastAsia"/>
        </w:rPr>
        <w:t>:</w:t>
      </w:r>
    </w:p>
    <w:p w:rsidR="001937F2" w:rsidRPr="001937F2" w:rsidRDefault="001937F2">
      <w:pPr>
        <w:rPr>
          <w:rFonts w:ascii="Times New Roman" w:hAnsi="Times New Roman" w:cs="Times New Roman"/>
        </w:rPr>
      </w:pPr>
      <w:r w:rsidRPr="001937F2">
        <w:rPr>
          <w:rFonts w:ascii="Times New Roman" w:hAnsi="Times New Roman" w:cs="Times New Roman"/>
        </w:rPr>
        <w:t>-Stella/ithink</w:t>
      </w:r>
    </w:p>
    <w:p w:rsidR="001937F2" w:rsidRPr="001937F2" w:rsidRDefault="001937F2">
      <w:pPr>
        <w:rPr>
          <w:rFonts w:ascii="Times New Roman" w:hAnsi="Times New Roman" w:cs="Times New Roman"/>
        </w:rPr>
      </w:pPr>
      <w:r w:rsidRPr="001937F2">
        <w:rPr>
          <w:rFonts w:ascii="Times New Roman" w:hAnsi="Times New Roman" w:cs="Times New Roman"/>
        </w:rPr>
        <w:t xml:space="preserve"> -pest calibration</w:t>
      </w:r>
    </w:p>
    <w:p w:rsidR="001937F2" w:rsidRPr="001937F2" w:rsidRDefault="001937F2">
      <w:pPr>
        <w:rPr>
          <w:rFonts w:ascii="Times New Roman" w:hAnsi="Times New Roman" w:cs="Times New Roman"/>
        </w:rPr>
      </w:pPr>
      <w:r w:rsidRPr="001937F2">
        <w:rPr>
          <w:rFonts w:ascii="Times New Roman" w:hAnsi="Times New Roman" w:cs="Times New Roman"/>
        </w:rPr>
        <w:lastRenderedPageBreak/>
        <w:t>-LIM in R</w:t>
      </w:r>
    </w:p>
    <w:p w:rsidR="001937F2" w:rsidRDefault="001937F2">
      <w:pPr>
        <w:rPr>
          <w:rFonts w:ascii="Times New Roman" w:hAnsi="Times New Roman" w:cs="Times New Roman"/>
          <w:b/>
        </w:rPr>
      </w:pPr>
    </w:p>
    <w:p w:rsidR="006E5D4A" w:rsidRPr="006E5D4A" w:rsidRDefault="006E5D4A">
      <w:pPr>
        <w:rPr>
          <w:rFonts w:ascii="Times New Roman" w:hAnsi="Times New Roman" w:cs="Times New Roman"/>
          <w:b/>
        </w:rPr>
      </w:pPr>
    </w:p>
    <w:p w:rsidR="001937F2" w:rsidRPr="001937F2" w:rsidRDefault="001937F2">
      <w:pPr>
        <w:rPr>
          <w:rFonts w:ascii="Times New Roman" w:hAnsi="Times New Roman" w:cs="Times New Roman"/>
        </w:rPr>
      </w:pPr>
      <w:r w:rsidRPr="001937F2">
        <w:rPr>
          <w:rFonts w:ascii="Times New Roman" w:hAnsi="Times New Roman" w:cs="Times New Roman" w:hint="eastAsia"/>
        </w:rPr>
        <w:t>SCOC</w:t>
      </w:r>
    </w:p>
    <w:p w:rsidR="001937F2" w:rsidRDefault="001937F2">
      <w:pPr>
        <w:rPr>
          <w:rFonts w:ascii="Times New Roman" w:hAnsi="Times New Roman" w:cs="Times New Roman"/>
          <w:b/>
        </w:rPr>
      </w:pPr>
    </w:p>
    <w:p w:rsidR="001937F2" w:rsidRDefault="001937F2">
      <w:pPr>
        <w:rPr>
          <w:rFonts w:ascii="Times New Roman" w:hAnsi="Times New Roman" w:cs="Times New Roman"/>
          <w:b/>
        </w:rPr>
      </w:pPr>
    </w:p>
    <w:p w:rsidR="001937F2" w:rsidRPr="00672A40" w:rsidRDefault="001937F2">
      <w:pPr>
        <w:rPr>
          <w:rFonts w:ascii="Times New Roman" w:hAnsi="Times New Roman" w:cs="Times New Roman"/>
          <w:b/>
        </w:rPr>
      </w:pPr>
    </w:p>
    <w:p w:rsidR="00672A40" w:rsidRPr="00672A40" w:rsidRDefault="00672A40" w:rsidP="00672A40">
      <w:pPr>
        <w:ind w:leftChars="100" w:left="240"/>
        <w:rPr>
          <w:rFonts w:ascii="Times New Roman" w:hAnsi="Times New Roman" w:cs="Times New Roman"/>
          <w:b/>
        </w:rPr>
      </w:pPr>
      <w:r w:rsidRPr="00672A40">
        <w:rPr>
          <w:rFonts w:ascii="Times New Roman" w:hAnsi="Times New Roman" w:cs="Times New Roman"/>
          <w:b/>
        </w:rPr>
        <w:t xml:space="preserve">Sediment carbon budget: </w:t>
      </w:r>
    </w:p>
    <w:p w:rsidR="00672A40" w:rsidRDefault="00672A40" w:rsidP="00672A40">
      <w:pPr>
        <w:ind w:leftChars="100" w:left="240"/>
        <w:rPr>
          <w:rFonts w:ascii="Times New Roman" w:hAnsi="Times New Roman" w:cs="Times New Roman"/>
        </w:rPr>
      </w:pPr>
      <w:r w:rsidRPr="00672A40">
        <w:rPr>
          <w:rFonts w:ascii="Times New Roman" w:hAnsi="Times New Roman" w:cs="Times New Roman"/>
        </w:rPr>
        <w:t xml:space="preserve">In the deep-sea sediments, the total inventory of </w:t>
      </w:r>
      <w:r>
        <w:rPr>
          <w:rFonts w:ascii="Times New Roman" w:hAnsi="Times New Roman" w:cs="Times New Roman" w:hint="eastAsia"/>
        </w:rPr>
        <w:t xml:space="preserve">OC </w:t>
      </w:r>
      <w:r w:rsidRPr="00672A40">
        <w:rPr>
          <w:rFonts w:ascii="Times New Roman" w:hAnsi="Times New Roman" w:cs="Times New Roman"/>
        </w:rPr>
        <w:t xml:space="preserve">can be </w:t>
      </w:r>
      <w:r>
        <w:rPr>
          <w:rFonts w:ascii="Times New Roman" w:hAnsi="Times New Roman" w:cs="Times New Roman" w:hint="eastAsia"/>
        </w:rPr>
        <w:t>divided</w:t>
      </w:r>
      <w:r w:rsidRPr="00672A40">
        <w:rPr>
          <w:rFonts w:ascii="Times New Roman" w:hAnsi="Times New Roman" w:cs="Times New Roman"/>
        </w:rPr>
        <w:t xml:space="preserve"> into the living an</w:t>
      </w:r>
      <w:r>
        <w:rPr>
          <w:rFonts w:ascii="Times New Roman" w:hAnsi="Times New Roman" w:cs="Times New Roman"/>
        </w:rPr>
        <w:t>d non-living components (Fig.1</w:t>
      </w:r>
      <w:r w:rsidRPr="00672A40">
        <w:rPr>
          <w:rFonts w:ascii="Times New Roman" w:hAnsi="Times New Roman" w:cs="Times New Roman"/>
        </w:rPr>
        <w:t xml:space="preserve">). </w:t>
      </w:r>
    </w:p>
    <w:p w:rsidR="00672A40" w:rsidRDefault="00672A40" w:rsidP="00672A40">
      <w:pPr>
        <w:ind w:leftChars="100" w:left="240"/>
        <w:rPr>
          <w:rFonts w:ascii="Times New Roman" w:hAnsi="Times New Roman" w:cs="Times New Roman"/>
        </w:rPr>
      </w:pPr>
    </w:p>
    <w:p w:rsidR="005856CB" w:rsidRDefault="00672A40" w:rsidP="00672A40">
      <w:pPr>
        <w:ind w:leftChars="100" w:left="240"/>
        <w:rPr>
          <w:rFonts w:ascii="Times New Roman" w:hAnsi="Times New Roman" w:cs="Times New Roman"/>
        </w:rPr>
      </w:pPr>
      <w:r w:rsidRPr="00672A40">
        <w:rPr>
          <w:rFonts w:ascii="Times New Roman" w:hAnsi="Times New Roman" w:cs="Times New Roman"/>
        </w:rPr>
        <w:t xml:space="preserve"> The living component of OC is mainly contributed by the biomass of prokaryotes (mainly bacteria), protozoan (mainly foraminifera), meiofauna (&gt; 0.04 mm in length) and macrofauna (&gt; 0.3 mm in length) (Rex et al., 2006; Rowe, 1983; Wei et al., 2010).  The non-living component of OC includes labile (i.e., fresh phytodetritus or chlorophyll-a contents), semi-labile (i.e., lipid, protein, and carbohydrate), and refractory OC (i.e., humic and fulvic acids, structural carbohydrates, and “black” carbon) (Danovaro, 2010).  The source of OC is mainly supplied by the slow rain of particulate organic carbon (POC) from the euphotic zone or lateral advection of POC from terrestrial or marine organics.  The loss of OC balances the source through carbon remineralization (SCOC), biological utilization of labile OC, the predation among living components of OC, long-term burial of the refractory OC and down-slope OC export (i.e., by turbidity currents).</w:t>
      </w:r>
    </w:p>
    <w:p w:rsidR="005856CB" w:rsidRDefault="005856CB">
      <w:pPr>
        <w:rPr>
          <w:rFonts w:ascii="Times New Roman" w:hAnsi="Times New Roman" w:cs="Times New Roman"/>
        </w:rPr>
      </w:pPr>
    </w:p>
    <w:p w:rsidR="005856CB" w:rsidRDefault="005856CB">
      <w:pPr>
        <w:rPr>
          <w:rFonts w:ascii="Times New Roman" w:hAnsi="Times New Roman" w:cs="Times New Roman"/>
        </w:rPr>
      </w:pPr>
    </w:p>
    <w:p w:rsidR="00D51B16" w:rsidRDefault="00D51B16">
      <w:pPr>
        <w:rPr>
          <w:rFonts w:ascii="Times New Roman" w:hAnsi="Times New Roman" w:cs="Times New Roman"/>
        </w:rPr>
      </w:pPr>
    </w:p>
    <w:p w:rsidR="00925325" w:rsidRDefault="005856CB" w:rsidP="005856CB">
      <w:pPr>
        <w:jc w:val="center"/>
        <w:rPr>
          <w:rFonts w:ascii="Times New Roman" w:hAnsi="Times New Roman" w:cs="Times New Roman"/>
        </w:rPr>
      </w:pPr>
      <w:r>
        <w:rPr>
          <w:rFonts w:ascii="Times New Roman" w:hAnsi="Times New Roman" w:cs="Times New Roman"/>
          <w:noProof/>
        </w:rPr>
        <w:drawing>
          <wp:inline distT="0" distB="0" distL="0" distR="0">
            <wp:extent cx="3312126" cy="2380615"/>
            <wp:effectExtent l="0" t="0" r="3175"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tor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0539" cy="2401037"/>
                    </a:xfrm>
                    <a:prstGeom prst="rect">
                      <a:avLst/>
                    </a:prstGeom>
                  </pic:spPr>
                </pic:pic>
              </a:graphicData>
            </a:graphic>
          </wp:inline>
        </w:drawing>
      </w:r>
    </w:p>
    <w:p w:rsidR="00925325" w:rsidRDefault="005856CB">
      <w:pPr>
        <w:rPr>
          <w:rFonts w:ascii="Times New Roman" w:hAnsi="Times New Roman" w:cs="Times New Roman"/>
        </w:rPr>
      </w:pPr>
      <w:r>
        <w:rPr>
          <w:rFonts w:ascii="Times New Roman" w:hAnsi="Times New Roman" w:cs="Times New Roman"/>
        </w:rPr>
        <w:lastRenderedPageBreak/>
        <w:t>Fig.1 Conceptual model of c</w:t>
      </w:r>
      <w:r w:rsidRPr="005856CB">
        <w:rPr>
          <w:rFonts w:ascii="Times New Roman" w:hAnsi="Times New Roman" w:cs="Times New Roman"/>
        </w:rPr>
        <w:t>arbon budget and cycling in the deep-sea sediment</w:t>
      </w:r>
      <w:r w:rsidR="008270A2">
        <w:rPr>
          <w:rFonts w:ascii="Times New Roman" w:hAnsi="Times New Roman" w:cs="Times New Roman"/>
        </w:rPr>
        <w:t xml:space="preserve"> </w:t>
      </w:r>
      <w:r w:rsidR="008270A2" w:rsidRPr="008270A2">
        <w:rPr>
          <w:rFonts w:ascii="Times New Roman" w:hAnsi="Times New Roman" w:cs="Times New Roman"/>
        </w:rPr>
        <w:t>modified from Rowe et al. (2008).</w:t>
      </w:r>
    </w:p>
    <w:p w:rsidR="00FA3D9C" w:rsidRDefault="00FA3D9C">
      <w:pPr>
        <w:rPr>
          <w:rFonts w:ascii="Times New Roman" w:hAnsi="Times New Roman" w:cs="Times New Roman"/>
        </w:rPr>
      </w:pPr>
    </w:p>
    <w:p w:rsidR="00AC6C22" w:rsidRDefault="00AC6C22" w:rsidP="0052761A">
      <w:pPr>
        <w:jc w:val="center"/>
        <w:rPr>
          <w:rFonts w:ascii="Times New Roman" w:hAnsi="Times New Roman" w:cs="Times New Roman"/>
        </w:rPr>
      </w:pPr>
    </w:p>
    <w:tbl>
      <w:tblPr>
        <w:tblStyle w:val="a7"/>
        <w:tblW w:w="1011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09"/>
        <w:gridCol w:w="992"/>
        <w:gridCol w:w="1560"/>
        <w:gridCol w:w="1559"/>
        <w:gridCol w:w="1134"/>
        <w:gridCol w:w="236"/>
        <w:gridCol w:w="1134"/>
        <w:gridCol w:w="1181"/>
        <w:gridCol w:w="1607"/>
      </w:tblGrid>
      <w:tr w:rsidR="00A414CA" w:rsidRPr="00F56D77" w:rsidTr="00F56D77">
        <w:trPr>
          <w:trHeight w:val="123"/>
          <w:jc w:val="center"/>
        </w:trPr>
        <w:tc>
          <w:tcPr>
            <w:tcW w:w="709" w:type="dxa"/>
            <w:vMerge w:val="restart"/>
            <w:vAlign w:val="center"/>
          </w:tcPr>
          <w:p w:rsidR="00A414CA" w:rsidRPr="00F56D77" w:rsidRDefault="00A414CA" w:rsidP="00F56D77">
            <w:pPr>
              <w:jc w:val="center"/>
              <w:rPr>
                <w:rFonts w:ascii="Times New Roman" w:hAnsi="Times New Roman" w:cs="Times New Roman"/>
                <w:sz w:val="16"/>
                <w:szCs w:val="16"/>
              </w:rPr>
            </w:pPr>
            <w:r w:rsidRPr="00F56D77">
              <w:rPr>
                <w:rFonts w:ascii="Times New Roman" w:hAnsi="Times New Roman" w:cs="Times New Roman"/>
                <w:color w:val="000000"/>
                <w:sz w:val="16"/>
                <w:szCs w:val="16"/>
              </w:rPr>
              <w:t>Station</w:t>
            </w:r>
          </w:p>
        </w:tc>
        <w:tc>
          <w:tcPr>
            <w:tcW w:w="992" w:type="dxa"/>
            <w:vMerge w:val="restart"/>
            <w:vAlign w:val="center"/>
          </w:tcPr>
          <w:p w:rsidR="00A414CA" w:rsidRPr="00F56D77" w:rsidRDefault="00A414CA" w:rsidP="00F56D77">
            <w:pPr>
              <w:jc w:val="center"/>
              <w:rPr>
                <w:rFonts w:ascii="Times New Roman" w:hAnsi="Times New Roman" w:cs="Times New Roman"/>
                <w:sz w:val="16"/>
                <w:szCs w:val="16"/>
              </w:rPr>
            </w:pPr>
            <w:r w:rsidRPr="00F56D77">
              <w:rPr>
                <w:rFonts w:ascii="Times New Roman" w:hAnsi="Times New Roman" w:cs="Times New Roman"/>
                <w:color w:val="000000"/>
                <w:sz w:val="16"/>
                <w:szCs w:val="16"/>
              </w:rPr>
              <w:t>Cruise</w:t>
            </w:r>
          </w:p>
        </w:tc>
        <w:tc>
          <w:tcPr>
            <w:tcW w:w="4253" w:type="dxa"/>
            <w:gridSpan w:val="3"/>
            <w:vAlign w:val="center"/>
          </w:tcPr>
          <w:p w:rsidR="00A414CA" w:rsidRPr="00F56D77" w:rsidRDefault="00A414CA" w:rsidP="00F56D77">
            <w:pPr>
              <w:jc w:val="center"/>
              <w:rPr>
                <w:rFonts w:ascii="Times New Roman" w:hAnsi="Times New Roman" w:cs="Times New Roman"/>
                <w:sz w:val="14"/>
                <w:szCs w:val="16"/>
              </w:rPr>
            </w:pPr>
            <w:r w:rsidRPr="00F56D77">
              <w:rPr>
                <w:rFonts w:ascii="Times New Roman" w:hAnsi="Times New Roman" w:cs="Times New Roman"/>
                <w:sz w:val="14"/>
                <w:szCs w:val="16"/>
              </w:rPr>
              <w:t>From incubation and oxygen profiling</w:t>
            </w:r>
          </w:p>
        </w:tc>
        <w:tc>
          <w:tcPr>
            <w:tcW w:w="236" w:type="dxa"/>
            <w:tcBorders>
              <w:bottom w:val="nil"/>
            </w:tcBorders>
            <w:vAlign w:val="center"/>
          </w:tcPr>
          <w:p w:rsidR="00A414CA" w:rsidRPr="00F56D77" w:rsidRDefault="00A414CA" w:rsidP="00F56D77">
            <w:pPr>
              <w:jc w:val="center"/>
              <w:rPr>
                <w:rFonts w:ascii="Times New Roman" w:hAnsi="Times New Roman" w:cs="Times New Roman"/>
                <w:sz w:val="16"/>
                <w:szCs w:val="16"/>
              </w:rPr>
            </w:pPr>
          </w:p>
        </w:tc>
        <w:tc>
          <w:tcPr>
            <w:tcW w:w="2315" w:type="dxa"/>
            <w:gridSpan w:val="2"/>
            <w:tcBorders>
              <w:right w:val="nil"/>
            </w:tcBorders>
            <w:vAlign w:val="center"/>
          </w:tcPr>
          <w:p w:rsidR="00A414CA" w:rsidRPr="00F56D77" w:rsidRDefault="00A414CA" w:rsidP="00F56D77">
            <w:pPr>
              <w:jc w:val="center"/>
              <w:rPr>
                <w:rFonts w:ascii="Times New Roman" w:hAnsi="Times New Roman" w:cs="Times New Roman"/>
                <w:sz w:val="14"/>
                <w:szCs w:val="16"/>
              </w:rPr>
            </w:pPr>
            <w:r w:rsidRPr="00F56D77">
              <w:rPr>
                <w:rFonts w:ascii="Times New Roman" w:hAnsi="Times New Roman" w:cs="Times New Roman"/>
                <w:sz w:val="14"/>
                <w:szCs w:val="16"/>
              </w:rPr>
              <w:t>Respiration calculated based on mass</w:t>
            </w:r>
          </w:p>
        </w:tc>
        <w:tc>
          <w:tcPr>
            <w:tcW w:w="1607" w:type="dxa"/>
            <w:vMerge w:val="restart"/>
            <w:tcBorders>
              <w:left w:val="nil"/>
            </w:tcBorders>
            <w:vAlign w:val="center"/>
          </w:tcPr>
          <w:p w:rsidR="00A414CA" w:rsidRPr="00F56D77" w:rsidRDefault="00A414CA" w:rsidP="00F56D77">
            <w:pPr>
              <w:jc w:val="center"/>
              <w:rPr>
                <w:rFonts w:ascii="Times New Roman" w:hAnsi="Times New Roman" w:cs="Times New Roman"/>
                <w:sz w:val="16"/>
                <w:szCs w:val="16"/>
              </w:rPr>
            </w:pPr>
            <w:r w:rsidRPr="00F56D77">
              <w:rPr>
                <w:rFonts w:ascii="Times New Roman" w:hAnsi="Times New Roman" w:cs="Times New Roman"/>
                <w:sz w:val="16"/>
                <w:szCs w:val="16"/>
              </w:rPr>
              <w:t>TOU-(Macro+Meio)</w:t>
            </w:r>
          </w:p>
          <w:p w:rsidR="00A414CA" w:rsidRPr="00F56D77" w:rsidRDefault="00A414CA" w:rsidP="00F56D77">
            <w:pPr>
              <w:jc w:val="center"/>
              <w:rPr>
                <w:rFonts w:ascii="Times New Roman" w:hAnsi="Times New Roman" w:cs="Times New Roman"/>
                <w:sz w:val="16"/>
                <w:szCs w:val="16"/>
              </w:rPr>
            </w:pPr>
            <w:r w:rsidRPr="00F56D77">
              <w:rPr>
                <w:rFonts w:ascii="Times New Roman" w:hAnsi="Times New Roman" w:cs="Times New Roman"/>
                <w:sz w:val="16"/>
                <w:szCs w:val="16"/>
              </w:rPr>
              <w:t>(µgC/m</w:t>
            </w:r>
            <w:r w:rsidRPr="00F56D77">
              <w:rPr>
                <w:rFonts w:ascii="Times New Roman" w:hAnsi="Times New Roman" w:cs="Times New Roman"/>
                <w:sz w:val="16"/>
                <w:szCs w:val="16"/>
                <w:vertAlign w:val="superscript"/>
              </w:rPr>
              <w:t>2</w:t>
            </w:r>
            <w:r w:rsidRPr="00F56D77">
              <w:rPr>
                <w:rFonts w:ascii="Times New Roman" w:hAnsi="Times New Roman" w:cs="Times New Roman"/>
                <w:sz w:val="16"/>
                <w:szCs w:val="16"/>
              </w:rPr>
              <w:t>/day)</w:t>
            </w:r>
          </w:p>
        </w:tc>
      </w:tr>
      <w:tr w:rsidR="00A414CA" w:rsidRPr="00F56D77" w:rsidTr="00F56D77">
        <w:trPr>
          <w:trHeight w:val="171"/>
          <w:jc w:val="center"/>
        </w:trPr>
        <w:tc>
          <w:tcPr>
            <w:tcW w:w="709" w:type="dxa"/>
            <w:vMerge/>
            <w:vAlign w:val="center"/>
          </w:tcPr>
          <w:p w:rsidR="00A414CA" w:rsidRPr="00F56D77" w:rsidRDefault="00A414CA" w:rsidP="00F56D77">
            <w:pPr>
              <w:widowControl/>
              <w:jc w:val="center"/>
              <w:rPr>
                <w:rFonts w:ascii="Times New Roman" w:hAnsi="Times New Roman" w:cs="Times New Roman"/>
                <w:color w:val="000000"/>
                <w:sz w:val="16"/>
                <w:szCs w:val="16"/>
              </w:rPr>
            </w:pPr>
          </w:p>
        </w:tc>
        <w:tc>
          <w:tcPr>
            <w:tcW w:w="992" w:type="dxa"/>
            <w:vMerge/>
            <w:vAlign w:val="center"/>
          </w:tcPr>
          <w:p w:rsidR="00A414CA" w:rsidRPr="00F56D77" w:rsidRDefault="00A414CA" w:rsidP="00F56D77">
            <w:pPr>
              <w:widowControl/>
              <w:jc w:val="center"/>
              <w:rPr>
                <w:rFonts w:ascii="Times New Roman" w:hAnsi="Times New Roman" w:cs="Times New Roman"/>
                <w:color w:val="000000"/>
                <w:sz w:val="16"/>
                <w:szCs w:val="16"/>
              </w:rPr>
            </w:pPr>
          </w:p>
        </w:tc>
        <w:tc>
          <w:tcPr>
            <w:tcW w:w="1560" w:type="dxa"/>
            <w:vAlign w:val="center"/>
          </w:tcPr>
          <w:p w:rsidR="00A414CA" w:rsidRPr="00F56D77" w:rsidRDefault="00A414CA" w:rsidP="00F56D77">
            <w:pPr>
              <w:jc w:val="center"/>
              <w:rPr>
                <w:rFonts w:ascii="Times New Roman" w:hAnsi="Times New Roman" w:cs="Times New Roman"/>
                <w:sz w:val="16"/>
                <w:szCs w:val="16"/>
              </w:rPr>
            </w:pPr>
            <w:r w:rsidRPr="00F56D77">
              <w:rPr>
                <w:rFonts w:ascii="Times New Roman" w:hAnsi="Times New Roman" w:cs="Times New Roman"/>
                <w:sz w:val="16"/>
                <w:szCs w:val="16"/>
              </w:rPr>
              <w:t>TOU</w:t>
            </w:r>
          </w:p>
          <w:p w:rsidR="00A414CA" w:rsidRPr="00F56D77" w:rsidRDefault="00A414CA" w:rsidP="00F56D77">
            <w:pPr>
              <w:jc w:val="center"/>
              <w:rPr>
                <w:rFonts w:ascii="Times New Roman" w:hAnsi="Times New Roman" w:cs="Times New Roman"/>
                <w:sz w:val="16"/>
                <w:szCs w:val="16"/>
              </w:rPr>
            </w:pPr>
            <w:r w:rsidRPr="00F56D77">
              <w:rPr>
                <w:rFonts w:ascii="Times New Roman" w:hAnsi="Times New Roman" w:cs="Times New Roman"/>
                <w:sz w:val="16"/>
                <w:szCs w:val="16"/>
              </w:rPr>
              <w:t>(mmol O</w:t>
            </w:r>
            <w:r w:rsidRPr="00F56D77">
              <w:rPr>
                <w:rFonts w:ascii="Times New Roman" w:hAnsi="Times New Roman" w:cs="Times New Roman"/>
                <w:sz w:val="16"/>
                <w:szCs w:val="16"/>
                <w:vertAlign w:val="subscript"/>
              </w:rPr>
              <w:t>2</w:t>
            </w:r>
            <w:r w:rsidRPr="00F56D77">
              <w:rPr>
                <w:rFonts w:ascii="Times New Roman" w:hAnsi="Times New Roman" w:cs="Times New Roman"/>
                <w:sz w:val="16"/>
                <w:szCs w:val="16"/>
              </w:rPr>
              <w:t>/m</w:t>
            </w:r>
            <w:r w:rsidRPr="00F56D77">
              <w:rPr>
                <w:rFonts w:ascii="Times New Roman" w:hAnsi="Times New Roman" w:cs="Times New Roman"/>
                <w:sz w:val="16"/>
                <w:szCs w:val="16"/>
                <w:vertAlign w:val="superscript"/>
              </w:rPr>
              <w:t>2</w:t>
            </w:r>
            <w:r w:rsidRPr="00F56D77">
              <w:rPr>
                <w:rFonts w:ascii="Times New Roman" w:hAnsi="Times New Roman" w:cs="Times New Roman"/>
                <w:sz w:val="16"/>
                <w:szCs w:val="16"/>
              </w:rPr>
              <w:t>/day)</w:t>
            </w:r>
          </w:p>
        </w:tc>
        <w:tc>
          <w:tcPr>
            <w:tcW w:w="1559" w:type="dxa"/>
            <w:vAlign w:val="center"/>
          </w:tcPr>
          <w:p w:rsidR="00A414CA" w:rsidRPr="00F56D77" w:rsidRDefault="00A414CA" w:rsidP="00F56D77">
            <w:pPr>
              <w:jc w:val="center"/>
              <w:rPr>
                <w:rFonts w:ascii="Times New Roman" w:hAnsi="Times New Roman" w:cs="Times New Roman"/>
                <w:sz w:val="16"/>
                <w:szCs w:val="16"/>
              </w:rPr>
            </w:pPr>
            <w:r w:rsidRPr="00F56D77">
              <w:rPr>
                <w:rFonts w:ascii="Times New Roman" w:hAnsi="Times New Roman" w:cs="Times New Roman"/>
                <w:sz w:val="16"/>
                <w:szCs w:val="16"/>
              </w:rPr>
              <w:t>DOU</w:t>
            </w:r>
          </w:p>
          <w:p w:rsidR="00A414CA" w:rsidRPr="00F56D77" w:rsidRDefault="00A414CA" w:rsidP="00F56D77">
            <w:pPr>
              <w:jc w:val="center"/>
              <w:rPr>
                <w:rFonts w:ascii="Times New Roman" w:hAnsi="Times New Roman" w:cs="Times New Roman"/>
                <w:sz w:val="16"/>
                <w:szCs w:val="16"/>
              </w:rPr>
            </w:pPr>
            <w:r w:rsidRPr="00F56D77">
              <w:rPr>
                <w:rFonts w:ascii="Times New Roman" w:hAnsi="Times New Roman" w:cs="Times New Roman"/>
                <w:sz w:val="16"/>
                <w:szCs w:val="16"/>
              </w:rPr>
              <w:t>(mmol O</w:t>
            </w:r>
            <w:r w:rsidRPr="00F56D77">
              <w:rPr>
                <w:rFonts w:ascii="Times New Roman" w:hAnsi="Times New Roman" w:cs="Times New Roman"/>
                <w:sz w:val="16"/>
                <w:szCs w:val="16"/>
                <w:vertAlign w:val="subscript"/>
              </w:rPr>
              <w:t>2</w:t>
            </w:r>
            <w:r w:rsidRPr="00F56D77">
              <w:rPr>
                <w:rFonts w:ascii="Times New Roman" w:hAnsi="Times New Roman" w:cs="Times New Roman"/>
                <w:sz w:val="16"/>
                <w:szCs w:val="16"/>
              </w:rPr>
              <w:t>/m</w:t>
            </w:r>
            <w:r w:rsidRPr="00F56D77">
              <w:rPr>
                <w:rFonts w:ascii="Times New Roman" w:hAnsi="Times New Roman" w:cs="Times New Roman"/>
                <w:sz w:val="16"/>
                <w:szCs w:val="16"/>
                <w:vertAlign w:val="superscript"/>
              </w:rPr>
              <w:t>2</w:t>
            </w:r>
            <w:r w:rsidRPr="00F56D77">
              <w:rPr>
                <w:rFonts w:ascii="Times New Roman" w:hAnsi="Times New Roman" w:cs="Times New Roman"/>
                <w:sz w:val="16"/>
                <w:szCs w:val="16"/>
              </w:rPr>
              <w:t>/day)</w:t>
            </w:r>
          </w:p>
        </w:tc>
        <w:tc>
          <w:tcPr>
            <w:tcW w:w="1134" w:type="dxa"/>
            <w:vAlign w:val="center"/>
          </w:tcPr>
          <w:p w:rsidR="00A414CA" w:rsidRPr="00F56D77" w:rsidRDefault="00A414CA" w:rsidP="00F56D77">
            <w:pPr>
              <w:jc w:val="center"/>
              <w:rPr>
                <w:rFonts w:ascii="Times New Roman" w:hAnsi="Times New Roman" w:cs="Times New Roman"/>
                <w:sz w:val="16"/>
                <w:szCs w:val="16"/>
              </w:rPr>
            </w:pPr>
            <w:r w:rsidRPr="00F56D77">
              <w:rPr>
                <w:rFonts w:ascii="Times New Roman" w:hAnsi="Times New Roman" w:cs="Times New Roman"/>
                <w:sz w:val="16"/>
                <w:szCs w:val="16"/>
              </w:rPr>
              <w:t>BMU</w:t>
            </w:r>
          </w:p>
          <w:p w:rsidR="00A414CA" w:rsidRPr="00F56D77" w:rsidRDefault="00A414CA" w:rsidP="00F56D77">
            <w:pPr>
              <w:jc w:val="center"/>
              <w:rPr>
                <w:rFonts w:ascii="Times New Roman" w:hAnsi="Times New Roman" w:cs="Times New Roman"/>
                <w:sz w:val="16"/>
                <w:szCs w:val="16"/>
              </w:rPr>
            </w:pPr>
            <w:r w:rsidRPr="00F56D77">
              <w:rPr>
                <w:rFonts w:ascii="Times New Roman" w:hAnsi="Times New Roman" w:cs="Times New Roman"/>
                <w:sz w:val="16"/>
                <w:szCs w:val="16"/>
              </w:rPr>
              <w:t>(µgC/m</w:t>
            </w:r>
            <w:r w:rsidRPr="00F56D77">
              <w:rPr>
                <w:rFonts w:ascii="Times New Roman" w:hAnsi="Times New Roman" w:cs="Times New Roman"/>
                <w:sz w:val="16"/>
                <w:szCs w:val="16"/>
                <w:vertAlign w:val="superscript"/>
              </w:rPr>
              <w:t>2</w:t>
            </w:r>
            <w:r w:rsidRPr="00F56D77">
              <w:rPr>
                <w:rFonts w:ascii="Times New Roman" w:hAnsi="Times New Roman" w:cs="Times New Roman"/>
                <w:sz w:val="16"/>
                <w:szCs w:val="16"/>
              </w:rPr>
              <w:t>/day)</w:t>
            </w:r>
          </w:p>
        </w:tc>
        <w:tc>
          <w:tcPr>
            <w:tcW w:w="236" w:type="dxa"/>
            <w:tcBorders>
              <w:top w:val="nil"/>
              <w:bottom w:val="nil"/>
            </w:tcBorders>
            <w:vAlign w:val="center"/>
          </w:tcPr>
          <w:p w:rsidR="00A414CA" w:rsidRPr="00F56D77" w:rsidRDefault="00A414CA" w:rsidP="00F56D77">
            <w:pPr>
              <w:jc w:val="center"/>
              <w:rPr>
                <w:rFonts w:ascii="Times New Roman" w:hAnsi="Times New Roman" w:cs="Times New Roman"/>
                <w:sz w:val="16"/>
                <w:szCs w:val="16"/>
              </w:rPr>
            </w:pPr>
          </w:p>
        </w:tc>
        <w:tc>
          <w:tcPr>
            <w:tcW w:w="1134" w:type="dxa"/>
            <w:vAlign w:val="center"/>
          </w:tcPr>
          <w:p w:rsidR="00A414CA" w:rsidRPr="00F56D77" w:rsidRDefault="00A414CA" w:rsidP="00F56D77">
            <w:pPr>
              <w:jc w:val="center"/>
              <w:rPr>
                <w:rFonts w:ascii="Times New Roman" w:hAnsi="Times New Roman" w:cs="Times New Roman"/>
                <w:sz w:val="16"/>
                <w:szCs w:val="16"/>
              </w:rPr>
            </w:pPr>
            <w:r w:rsidRPr="00F56D77">
              <w:rPr>
                <w:rFonts w:ascii="Times New Roman" w:hAnsi="Times New Roman" w:cs="Times New Roman"/>
                <w:sz w:val="16"/>
                <w:szCs w:val="16"/>
              </w:rPr>
              <w:t>Macrofauna</w:t>
            </w:r>
          </w:p>
          <w:p w:rsidR="00A414CA" w:rsidRPr="00F56D77" w:rsidRDefault="00A414CA" w:rsidP="00F56D77">
            <w:pPr>
              <w:jc w:val="center"/>
              <w:rPr>
                <w:rFonts w:ascii="Times New Roman" w:hAnsi="Times New Roman" w:cs="Times New Roman"/>
                <w:sz w:val="16"/>
                <w:szCs w:val="16"/>
              </w:rPr>
            </w:pPr>
            <w:r w:rsidRPr="00F56D77">
              <w:rPr>
                <w:rFonts w:ascii="Times New Roman" w:hAnsi="Times New Roman" w:cs="Times New Roman"/>
                <w:sz w:val="16"/>
                <w:szCs w:val="16"/>
              </w:rPr>
              <w:t>(µgC/m</w:t>
            </w:r>
            <w:r w:rsidRPr="00F56D77">
              <w:rPr>
                <w:rFonts w:ascii="Times New Roman" w:hAnsi="Times New Roman" w:cs="Times New Roman"/>
                <w:sz w:val="16"/>
                <w:szCs w:val="16"/>
                <w:vertAlign w:val="superscript"/>
              </w:rPr>
              <w:t>2</w:t>
            </w:r>
            <w:r w:rsidRPr="00F56D77">
              <w:rPr>
                <w:rFonts w:ascii="Times New Roman" w:hAnsi="Times New Roman" w:cs="Times New Roman"/>
                <w:sz w:val="16"/>
                <w:szCs w:val="16"/>
              </w:rPr>
              <w:t>/day)</w:t>
            </w:r>
          </w:p>
        </w:tc>
        <w:tc>
          <w:tcPr>
            <w:tcW w:w="1181" w:type="dxa"/>
            <w:tcBorders>
              <w:right w:val="nil"/>
            </w:tcBorders>
            <w:vAlign w:val="center"/>
          </w:tcPr>
          <w:p w:rsidR="00A414CA" w:rsidRPr="00F56D77" w:rsidRDefault="00A414CA" w:rsidP="00F56D77">
            <w:pPr>
              <w:jc w:val="center"/>
              <w:rPr>
                <w:rFonts w:ascii="Times New Roman" w:hAnsi="Times New Roman" w:cs="Times New Roman"/>
                <w:sz w:val="16"/>
                <w:szCs w:val="16"/>
              </w:rPr>
            </w:pPr>
            <w:r w:rsidRPr="00F56D77">
              <w:rPr>
                <w:rFonts w:ascii="Times New Roman" w:hAnsi="Times New Roman" w:cs="Times New Roman"/>
                <w:sz w:val="16"/>
                <w:szCs w:val="16"/>
              </w:rPr>
              <w:t>Meiofauna</w:t>
            </w:r>
          </w:p>
          <w:p w:rsidR="00A414CA" w:rsidRPr="00F56D77" w:rsidRDefault="00A414CA" w:rsidP="00F56D77">
            <w:pPr>
              <w:jc w:val="center"/>
              <w:rPr>
                <w:rFonts w:ascii="Times New Roman" w:hAnsi="Times New Roman" w:cs="Times New Roman"/>
                <w:sz w:val="16"/>
                <w:szCs w:val="16"/>
              </w:rPr>
            </w:pPr>
            <w:r w:rsidRPr="00F56D77">
              <w:rPr>
                <w:rFonts w:ascii="Times New Roman" w:hAnsi="Times New Roman" w:cs="Times New Roman"/>
                <w:sz w:val="16"/>
                <w:szCs w:val="16"/>
              </w:rPr>
              <w:t>(µgC/m</w:t>
            </w:r>
            <w:r w:rsidRPr="00F56D77">
              <w:rPr>
                <w:rFonts w:ascii="Times New Roman" w:hAnsi="Times New Roman" w:cs="Times New Roman"/>
                <w:sz w:val="16"/>
                <w:szCs w:val="16"/>
                <w:vertAlign w:val="superscript"/>
              </w:rPr>
              <w:t>2</w:t>
            </w:r>
            <w:r w:rsidRPr="00F56D77">
              <w:rPr>
                <w:rFonts w:ascii="Times New Roman" w:hAnsi="Times New Roman" w:cs="Times New Roman"/>
                <w:sz w:val="16"/>
                <w:szCs w:val="16"/>
              </w:rPr>
              <w:t>/day)</w:t>
            </w:r>
          </w:p>
        </w:tc>
        <w:tc>
          <w:tcPr>
            <w:tcW w:w="1607" w:type="dxa"/>
            <w:vMerge/>
            <w:tcBorders>
              <w:left w:val="nil"/>
            </w:tcBorders>
            <w:vAlign w:val="center"/>
          </w:tcPr>
          <w:p w:rsidR="00A414CA" w:rsidRPr="00F56D77" w:rsidRDefault="00A414CA" w:rsidP="00F56D77">
            <w:pPr>
              <w:jc w:val="center"/>
              <w:rPr>
                <w:rFonts w:ascii="Times New Roman" w:hAnsi="Times New Roman" w:cs="Times New Roman"/>
                <w:sz w:val="16"/>
                <w:szCs w:val="16"/>
              </w:rPr>
            </w:pPr>
          </w:p>
        </w:tc>
      </w:tr>
      <w:tr w:rsidR="00F56D77" w:rsidRPr="00F56D77" w:rsidTr="00F56D77">
        <w:trPr>
          <w:jc w:val="center"/>
        </w:trPr>
        <w:tc>
          <w:tcPr>
            <w:tcW w:w="709" w:type="dxa"/>
            <w:vAlign w:val="center"/>
          </w:tcPr>
          <w:p w:rsidR="00F56D77" w:rsidRPr="00F56D77" w:rsidRDefault="00F56D77" w:rsidP="00F56D77">
            <w:pPr>
              <w:widowControl/>
              <w:jc w:val="center"/>
              <w:rPr>
                <w:rFonts w:ascii="Times New Roman" w:hAnsi="Times New Roman" w:cs="Times New Roman"/>
                <w:color w:val="000000"/>
                <w:sz w:val="16"/>
                <w:szCs w:val="16"/>
              </w:rPr>
            </w:pPr>
            <w:r w:rsidRPr="00F56D77">
              <w:rPr>
                <w:rFonts w:ascii="Times New Roman" w:hAnsi="Times New Roman" w:cs="Times New Roman"/>
                <w:color w:val="000000"/>
                <w:sz w:val="16"/>
                <w:szCs w:val="16"/>
              </w:rPr>
              <w:t>GC1</w:t>
            </w:r>
          </w:p>
        </w:tc>
        <w:tc>
          <w:tcPr>
            <w:tcW w:w="992" w:type="dxa"/>
            <w:vAlign w:val="center"/>
          </w:tcPr>
          <w:p w:rsidR="00F56D77" w:rsidRPr="00F56D77" w:rsidRDefault="00F56D77" w:rsidP="00F56D77">
            <w:pPr>
              <w:widowControl/>
              <w:jc w:val="center"/>
              <w:rPr>
                <w:rFonts w:ascii="Times New Roman" w:hAnsi="Times New Roman" w:cs="Times New Roman"/>
                <w:color w:val="000000"/>
                <w:sz w:val="16"/>
                <w:szCs w:val="16"/>
              </w:rPr>
            </w:pPr>
            <w:r w:rsidRPr="00F56D77">
              <w:rPr>
                <w:rFonts w:ascii="Times New Roman" w:hAnsi="Times New Roman" w:cs="Times New Roman"/>
                <w:color w:val="000000"/>
                <w:sz w:val="16"/>
                <w:szCs w:val="16"/>
              </w:rPr>
              <w:t>OR1_1128</w:t>
            </w:r>
          </w:p>
        </w:tc>
        <w:tc>
          <w:tcPr>
            <w:tcW w:w="1560" w:type="dxa"/>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-7.0668</w:t>
            </w:r>
          </w:p>
        </w:tc>
        <w:tc>
          <w:tcPr>
            <w:tcW w:w="1559" w:type="dxa"/>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-0.0012</w:t>
            </w:r>
          </w:p>
        </w:tc>
        <w:tc>
          <w:tcPr>
            <w:tcW w:w="1134" w:type="dxa"/>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-53014.8159</w:t>
            </w:r>
          </w:p>
        </w:tc>
        <w:tc>
          <w:tcPr>
            <w:tcW w:w="236" w:type="dxa"/>
            <w:tcBorders>
              <w:top w:val="nil"/>
              <w:bottom w:val="nil"/>
            </w:tcBorders>
            <w:vAlign w:val="center"/>
          </w:tcPr>
          <w:p w:rsidR="00F56D77" w:rsidRPr="00F56D77" w:rsidRDefault="00F56D77" w:rsidP="00F56D77">
            <w:pPr>
              <w:jc w:val="center"/>
              <w:rPr>
                <w:rFonts w:ascii="Times New Roman" w:hAnsi="Times New Roman" w:cs="Times New Roman"/>
                <w:sz w:val="16"/>
                <w:szCs w:val="16"/>
              </w:rPr>
            </w:pPr>
          </w:p>
        </w:tc>
        <w:tc>
          <w:tcPr>
            <w:tcW w:w="1134" w:type="dxa"/>
            <w:vAlign w:val="center"/>
          </w:tcPr>
          <w:p w:rsidR="00F56D77" w:rsidRPr="00F56D77" w:rsidRDefault="00F56D77" w:rsidP="00F56D77">
            <w:pPr>
              <w:widowControl/>
              <w:jc w:val="center"/>
              <w:rPr>
                <w:rFonts w:ascii="Times New Roman" w:hAnsi="Times New Roman" w:cs="Times New Roman"/>
                <w:color w:val="000000"/>
                <w:sz w:val="16"/>
                <w:szCs w:val="16"/>
              </w:rPr>
            </w:pPr>
            <w:r w:rsidRPr="00F56D77">
              <w:rPr>
                <w:rFonts w:ascii="Times New Roman" w:hAnsi="Times New Roman" w:cs="Times New Roman"/>
                <w:color w:val="000000"/>
                <w:sz w:val="16"/>
                <w:szCs w:val="16"/>
              </w:rPr>
              <w:t>590.25433</w:t>
            </w:r>
          </w:p>
        </w:tc>
        <w:tc>
          <w:tcPr>
            <w:tcW w:w="1181" w:type="dxa"/>
            <w:tcBorders>
              <w:right w:val="nil"/>
            </w:tcBorders>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323.7572</w:t>
            </w:r>
          </w:p>
        </w:tc>
        <w:tc>
          <w:tcPr>
            <w:tcW w:w="1607" w:type="dxa"/>
            <w:tcBorders>
              <w:left w:val="nil"/>
            </w:tcBorders>
            <w:vAlign w:val="center"/>
          </w:tcPr>
          <w:p w:rsidR="00F56D77" w:rsidRPr="00F56D77" w:rsidRDefault="00F56D77" w:rsidP="00F56D77">
            <w:pPr>
              <w:jc w:val="center"/>
              <w:rPr>
                <w:rFonts w:ascii="Times New Roman" w:hAnsi="Times New Roman" w:cs="Times New Roman"/>
                <w:sz w:val="16"/>
                <w:szCs w:val="16"/>
              </w:rPr>
            </w:pPr>
            <w:r>
              <w:rPr>
                <w:rFonts w:ascii="Times New Roman" w:hAnsi="Times New Roman" w:cs="Times New Roman"/>
                <w:sz w:val="16"/>
                <w:szCs w:val="16"/>
              </w:rPr>
              <w:t>71167.1986</w:t>
            </w:r>
          </w:p>
        </w:tc>
      </w:tr>
      <w:tr w:rsidR="00F56D77" w:rsidRPr="00F56D77" w:rsidTr="00F56D77">
        <w:trPr>
          <w:jc w:val="center"/>
        </w:trPr>
        <w:tc>
          <w:tcPr>
            <w:tcW w:w="709" w:type="dxa"/>
            <w:vAlign w:val="center"/>
          </w:tcPr>
          <w:p w:rsidR="00F56D77" w:rsidRPr="00F56D77" w:rsidRDefault="00F56D77" w:rsidP="00F56D77">
            <w:pPr>
              <w:jc w:val="center"/>
              <w:rPr>
                <w:rFonts w:ascii="Times New Roman" w:hAnsi="Times New Roman" w:cs="Times New Roman"/>
                <w:sz w:val="16"/>
                <w:szCs w:val="16"/>
              </w:rPr>
            </w:pPr>
          </w:p>
        </w:tc>
        <w:tc>
          <w:tcPr>
            <w:tcW w:w="992" w:type="dxa"/>
            <w:vAlign w:val="center"/>
          </w:tcPr>
          <w:p w:rsidR="00F56D77" w:rsidRPr="00F56D77" w:rsidRDefault="00F56D77" w:rsidP="00F56D77">
            <w:pPr>
              <w:jc w:val="center"/>
              <w:rPr>
                <w:rFonts w:ascii="Times New Roman" w:hAnsi="Times New Roman" w:cs="Times New Roman"/>
                <w:color w:val="000000"/>
                <w:sz w:val="16"/>
                <w:szCs w:val="16"/>
              </w:rPr>
            </w:pPr>
            <w:r w:rsidRPr="00F56D77">
              <w:rPr>
                <w:rFonts w:ascii="Times New Roman" w:hAnsi="Times New Roman" w:cs="Times New Roman"/>
                <w:color w:val="000000"/>
                <w:sz w:val="16"/>
                <w:szCs w:val="16"/>
              </w:rPr>
              <w:t>OR1_1151</w:t>
            </w:r>
          </w:p>
        </w:tc>
        <w:tc>
          <w:tcPr>
            <w:tcW w:w="1560" w:type="dxa"/>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-6.8205</w:t>
            </w:r>
          </w:p>
        </w:tc>
        <w:tc>
          <w:tcPr>
            <w:tcW w:w="1559" w:type="dxa"/>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-0.0009</w:t>
            </w:r>
          </w:p>
        </w:tc>
        <w:tc>
          <w:tcPr>
            <w:tcW w:w="1134" w:type="dxa"/>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-53459.7580</w:t>
            </w:r>
          </w:p>
        </w:tc>
        <w:tc>
          <w:tcPr>
            <w:tcW w:w="236" w:type="dxa"/>
            <w:tcBorders>
              <w:top w:val="nil"/>
              <w:bottom w:val="nil"/>
            </w:tcBorders>
            <w:vAlign w:val="center"/>
          </w:tcPr>
          <w:p w:rsidR="00F56D77" w:rsidRPr="00F56D77" w:rsidRDefault="00F56D77" w:rsidP="00F56D77">
            <w:pPr>
              <w:jc w:val="center"/>
              <w:rPr>
                <w:rFonts w:ascii="Times New Roman" w:hAnsi="Times New Roman" w:cs="Times New Roman"/>
                <w:sz w:val="16"/>
                <w:szCs w:val="16"/>
              </w:rPr>
            </w:pPr>
          </w:p>
        </w:tc>
        <w:tc>
          <w:tcPr>
            <w:tcW w:w="1134" w:type="dxa"/>
            <w:vAlign w:val="center"/>
          </w:tcPr>
          <w:p w:rsidR="00F56D77" w:rsidRPr="00F56D77" w:rsidRDefault="00F56D77" w:rsidP="00F56D77">
            <w:pPr>
              <w:jc w:val="center"/>
              <w:rPr>
                <w:rFonts w:ascii="Times New Roman" w:hAnsi="Times New Roman" w:cs="Times New Roman"/>
                <w:color w:val="000000"/>
                <w:sz w:val="16"/>
                <w:szCs w:val="16"/>
              </w:rPr>
            </w:pPr>
            <w:r w:rsidRPr="00F56D77">
              <w:rPr>
                <w:rFonts w:ascii="Times New Roman" w:hAnsi="Times New Roman" w:cs="Times New Roman"/>
                <w:color w:val="000000"/>
                <w:sz w:val="16"/>
                <w:szCs w:val="16"/>
              </w:rPr>
              <w:t>67.45080</w:t>
            </w:r>
          </w:p>
        </w:tc>
        <w:tc>
          <w:tcPr>
            <w:tcW w:w="1181" w:type="dxa"/>
            <w:tcBorders>
              <w:right w:val="nil"/>
            </w:tcBorders>
            <w:vAlign w:val="center"/>
          </w:tcPr>
          <w:p w:rsidR="00F56D77" w:rsidRPr="00F56D77" w:rsidRDefault="00F56D77" w:rsidP="00F56D77">
            <w:pPr>
              <w:jc w:val="center"/>
              <w:rPr>
                <w:rFonts w:ascii="Times New Roman" w:hAnsi="Times New Roman" w:cs="Times New Roman"/>
                <w:sz w:val="16"/>
                <w:szCs w:val="16"/>
              </w:rPr>
            </w:pPr>
          </w:p>
        </w:tc>
        <w:tc>
          <w:tcPr>
            <w:tcW w:w="1607" w:type="dxa"/>
            <w:tcBorders>
              <w:left w:val="nil"/>
            </w:tcBorders>
            <w:vAlign w:val="center"/>
          </w:tcPr>
          <w:p w:rsidR="00F56D77" w:rsidRPr="00F56D77" w:rsidRDefault="00F56D77" w:rsidP="00F56D77">
            <w:pPr>
              <w:jc w:val="center"/>
              <w:rPr>
                <w:rFonts w:ascii="Times New Roman" w:hAnsi="Times New Roman" w:cs="Times New Roman"/>
                <w:sz w:val="16"/>
                <w:szCs w:val="16"/>
              </w:rPr>
            </w:pPr>
            <w:r>
              <w:rPr>
                <w:rFonts w:ascii="Times New Roman" w:hAnsi="Times New Roman" w:cs="Times New Roman"/>
                <w:sz w:val="16"/>
                <w:szCs w:val="16"/>
              </w:rPr>
              <w:t>69501.5520</w:t>
            </w:r>
          </w:p>
        </w:tc>
      </w:tr>
      <w:tr w:rsidR="00F56D77" w:rsidRPr="00F56D77" w:rsidTr="00F56D77">
        <w:trPr>
          <w:jc w:val="center"/>
        </w:trPr>
        <w:tc>
          <w:tcPr>
            <w:tcW w:w="709" w:type="dxa"/>
            <w:vAlign w:val="center"/>
          </w:tcPr>
          <w:p w:rsidR="00F56D77" w:rsidRPr="00F56D77" w:rsidRDefault="00F56D77" w:rsidP="00F56D77">
            <w:pPr>
              <w:jc w:val="center"/>
              <w:rPr>
                <w:rFonts w:ascii="Times New Roman" w:hAnsi="Times New Roman" w:cs="Times New Roman"/>
                <w:sz w:val="16"/>
                <w:szCs w:val="16"/>
              </w:rPr>
            </w:pPr>
          </w:p>
        </w:tc>
        <w:tc>
          <w:tcPr>
            <w:tcW w:w="992" w:type="dxa"/>
            <w:vAlign w:val="center"/>
          </w:tcPr>
          <w:p w:rsidR="00F56D77" w:rsidRPr="00F56D77" w:rsidRDefault="00F56D77" w:rsidP="00F56D77">
            <w:pPr>
              <w:jc w:val="center"/>
              <w:rPr>
                <w:rFonts w:ascii="Times New Roman" w:hAnsi="Times New Roman" w:cs="Times New Roman"/>
                <w:color w:val="000000"/>
                <w:sz w:val="16"/>
                <w:szCs w:val="16"/>
              </w:rPr>
            </w:pPr>
            <w:r w:rsidRPr="00F56D77">
              <w:rPr>
                <w:rFonts w:ascii="Times New Roman" w:hAnsi="Times New Roman" w:cs="Times New Roman"/>
                <w:color w:val="000000"/>
                <w:sz w:val="16"/>
                <w:szCs w:val="16"/>
              </w:rPr>
              <w:t>OR1_1190</w:t>
            </w:r>
          </w:p>
        </w:tc>
        <w:tc>
          <w:tcPr>
            <w:tcW w:w="1560" w:type="dxa"/>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-8.4986</w:t>
            </w:r>
          </w:p>
        </w:tc>
        <w:tc>
          <w:tcPr>
            <w:tcW w:w="1559" w:type="dxa"/>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-0.0078</w:t>
            </w:r>
          </w:p>
        </w:tc>
        <w:tc>
          <w:tcPr>
            <w:tcW w:w="1134" w:type="dxa"/>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-63205.6372</w:t>
            </w:r>
          </w:p>
        </w:tc>
        <w:tc>
          <w:tcPr>
            <w:tcW w:w="236" w:type="dxa"/>
            <w:tcBorders>
              <w:top w:val="nil"/>
              <w:bottom w:val="nil"/>
            </w:tcBorders>
            <w:vAlign w:val="center"/>
          </w:tcPr>
          <w:p w:rsidR="00F56D77" w:rsidRPr="00F56D77" w:rsidRDefault="00F56D77" w:rsidP="00F56D77">
            <w:pPr>
              <w:jc w:val="center"/>
              <w:rPr>
                <w:rFonts w:ascii="Times New Roman" w:hAnsi="Times New Roman" w:cs="Times New Roman"/>
                <w:sz w:val="16"/>
                <w:szCs w:val="16"/>
              </w:rPr>
            </w:pPr>
          </w:p>
        </w:tc>
        <w:tc>
          <w:tcPr>
            <w:tcW w:w="1134" w:type="dxa"/>
            <w:vAlign w:val="center"/>
          </w:tcPr>
          <w:p w:rsidR="00F56D77" w:rsidRPr="00F56D77" w:rsidRDefault="00F56D77" w:rsidP="00F56D77">
            <w:pPr>
              <w:jc w:val="center"/>
              <w:rPr>
                <w:rFonts w:ascii="Times New Roman" w:hAnsi="Times New Roman" w:cs="Times New Roman"/>
                <w:color w:val="000000"/>
                <w:sz w:val="16"/>
                <w:szCs w:val="16"/>
              </w:rPr>
            </w:pPr>
            <w:r w:rsidRPr="00F56D77">
              <w:rPr>
                <w:rFonts w:ascii="Times New Roman" w:hAnsi="Times New Roman" w:cs="Times New Roman"/>
                <w:color w:val="000000"/>
                <w:sz w:val="16"/>
                <w:szCs w:val="16"/>
              </w:rPr>
              <w:t>251.89428</w:t>
            </w:r>
          </w:p>
        </w:tc>
        <w:tc>
          <w:tcPr>
            <w:tcW w:w="1181" w:type="dxa"/>
            <w:tcBorders>
              <w:right w:val="nil"/>
            </w:tcBorders>
            <w:vAlign w:val="center"/>
          </w:tcPr>
          <w:p w:rsidR="00F56D77" w:rsidRPr="00F56D77" w:rsidRDefault="00F56D77" w:rsidP="00F56D77">
            <w:pPr>
              <w:jc w:val="center"/>
              <w:rPr>
                <w:rFonts w:ascii="Times New Roman" w:hAnsi="Times New Roman" w:cs="Times New Roman"/>
                <w:sz w:val="16"/>
                <w:szCs w:val="16"/>
              </w:rPr>
            </w:pPr>
          </w:p>
        </w:tc>
        <w:tc>
          <w:tcPr>
            <w:tcW w:w="1607" w:type="dxa"/>
            <w:tcBorders>
              <w:left w:val="nil"/>
            </w:tcBorders>
            <w:vAlign w:val="center"/>
          </w:tcPr>
          <w:p w:rsidR="00F56D77" w:rsidRPr="00F56D77" w:rsidRDefault="00F56D77" w:rsidP="00F56D77">
            <w:pPr>
              <w:jc w:val="center"/>
              <w:rPr>
                <w:rFonts w:ascii="Times New Roman" w:hAnsi="Times New Roman" w:cs="Times New Roman"/>
                <w:sz w:val="16"/>
                <w:szCs w:val="16"/>
              </w:rPr>
            </w:pPr>
            <w:r>
              <w:rPr>
                <w:rFonts w:ascii="Times New Roman" w:hAnsi="Times New Roman" w:cs="Times New Roman"/>
                <w:sz w:val="16"/>
                <w:szCs w:val="16"/>
              </w:rPr>
              <w:t>86434.2873</w:t>
            </w:r>
          </w:p>
        </w:tc>
      </w:tr>
      <w:tr w:rsidR="00843A72" w:rsidRPr="00F56D77" w:rsidTr="00F56D77">
        <w:trPr>
          <w:jc w:val="center"/>
        </w:trPr>
        <w:tc>
          <w:tcPr>
            <w:tcW w:w="709" w:type="dxa"/>
            <w:vAlign w:val="center"/>
          </w:tcPr>
          <w:p w:rsidR="00932EF9" w:rsidRPr="00F56D77" w:rsidRDefault="00932EF9" w:rsidP="00F56D77">
            <w:pPr>
              <w:jc w:val="center"/>
              <w:rPr>
                <w:rFonts w:ascii="Times New Roman" w:hAnsi="Times New Roman" w:cs="Times New Roman"/>
                <w:sz w:val="16"/>
                <w:szCs w:val="16"/>
              </w:rPr>
            </w:pPr>
            <w:r w:rsidRPr="00F56D77">
              <w:rPr>
                <w:rFonts w:ascii="Times New Roman" w:hAnsi="Times New Roman" w:cs="Times New Roman"/>
                <w:color w:val="000000"/>
                <w:sz w:val="16"/>
                <w:szCs w:val="16"/>
              </w:rPr>
              <w:t>GS1</w:t>
            </w:r>
          </w:p>
        </w:tc>
        <w:tc>
          <w:tcPr>
            <w:tcW w:w="992" w:type="dxa"/>
            <w:vAlign w:val="center"/>
          </w:tcPr>
          <w:p w:rsidR="00932EF9" w:rsidRPr="00F56D77" w:rsidRDefault="00932EF9" w:rsidP="00F56D77">
            <w:pPr>
              <w:jc w:val="center"/>
              <w:rPr>
                <w:rFonts w:ascii="Times New Roman" w:hAnsi="Times New Roman" w:cs="Times New Roman"/>
                <w:sz w:val="16"/>
                <w:szCs w:val="16"/>
              </w:rPr>
            </w:pPr>
          </w:p>
        </w:tc>
        <w:tc>
          <w:tcPr>
            <w:tcW w:w="1560" w:type="dxa"/>
            <w:vAlign w:val="center"/>
          </w:tcPr>
          <w:p w:rsidR="00932EF9" w:rsidRPr="00F56D77" w:rsidRDefault="00932EF9" w:rsidP="00F56D77">
            <w:pPr>
              <w:jc w:val="center"/>
              <w:rPr>
                <w:rFonts w:ascii="Times New Roman" w:hAnsi="Times New Roman" w:cs="Times New Roman"/>
                <w:sz w:val="16"/>
                <w:szCs w:val="16"/>
              </w:rPr>
            </w:pPr>
          </w:p>
        </w:tc>
        <w:tc>
          <w:tcPr>
            <w:tcW w:w="1559" w:type="dxa"/>
            <w:vAlign w:val="center"/>
          </w:tcPr>
          <w:p w:rsidR="00932EF9" w:rsidRPr="00F56D77" w:rsidRDefault="00932EF9" w:rsidP="00F56D77">
            <w:pPr>
              <w:jc w:val="center"/>
              <w:rPr>
                <w:rFonts w:ascii="Times New Roman" w:hAnsi="Times New Roman" w:cs="Times New Roman"/>
                <w:sz w:val="16"/>
                <w:szCs w:val="16"/>
              </w:rPr>
            </w:pPr>
          </w:p>
        </w:tc>
        <w:tc>
          <w:tcPr>
            <w:tcW w:w="1134" w:type="dxa"/>
            <w:vAlign w:val="center"/>
          </w:tcPr>
          <w:p w:rsidR="00932EF9" w:rsidRPr="00F56D77" w:rsidRDefault="00932EF9" w:rsidP="00F56D77">
            <w:pPr>
              <w:jc w:val="center"/>
              <w:rPr>
                <w:rFonts w:ascii="Times New Roman" w:hAnsi="Times New Roman" w:cs="Times New Roman"/>
                <w:sz w:val="16"/>
                <w:szCs w:val="16"/>
              </w:rPr>
            </w:pPr>
          </w:p>
        </w:tc>
        <w:tc>
          <w:tcPr>
            <w:tcW w:w="236" w:type="dxa"/>
            <w:tcBorders>
              <w:top w:val="nil"/>
              <w:bottom w:val="nil"/>
            </w:tcBorders>
            <w:vAlign w:val="center"/>
          </w:tcPr>
          <w:p w:rsidR="00932EF9" w:rsidRPr="00F56D77" w:rsidRDefault="00932EF9" w:rsidP="00F56D77">
            <w:pPr>
              <w:jc w:val="center"/>
              <w:rPr>
                <w:rFonts w:ascii="Times New Roman" w:hAnsi="Times New Roman" w:cs="Times New Roman"/>
                <w:sz w:val="16"/>
                <w:szCs w:val="16"/>
              </w:rPr>
            </w:pPr>
          </w:p>
        </w:tc>
        <w:tc>
          <w:tcPr>
            <w:tcW w:w="1134" w:type="dxa"/>
            <w:vAlign w:val="center"/>
          </w:tcPr>
          <w:p w:rsidR="00932EF9" w:rsidRPr="00F56D77" w:rsidRDefault="00932EF9" w:rsidP="00F56D77">
            <w:pPr>
              <w:jc w:val="center"/>
              <w:rPr>
                <w:rFonts w:ascii="Times New Roman" w:hAnsi="Times New Roman" w:cs="Times New Roman"/>
                <w:sz w:val="16"/>
                <w:szCs w:val="16"/>
              </w:rPr>
            </w:pPr>
          </w:p>
        </w:tc>
        <w:tc>
          <w:tcPr>
            <w:tcW w:w="1181" w:type="dxa"/>
            <w:tcBorders>
              <w:right w:val="nil"/>
            </w:tcBorders>
            <w:vAlign w:val="center"/>
          </w:tcPr>
          <w:p w:rsidR="00932EF9" w:rsidRPr="00F56D77" w:rsidRDefault="00932EF9" w:rsidP="00F56D77">
            <w:pPr>
              <w:jc w:val="center"/>
              <w:rPr>
                <w:rFonts w:ascii="Times New Roman" w:hAnsi="Times New Roman" w:cs="Times New Roman"/>
                <w:sz w:val="16"/>
                <w:szCs w:val="16"/>
              </w:rPr>
            </w:pPr>
          </w:p>
        </w:tc>
        <w:tc>
          <w:tcPr>
            <w:tcW w:w="1607" w:type="dxa"/>
            <w:tcBorders>
              <w:left w:val="nil"/>
            </w:tcBorders>
            <w:vAlign w:val="center"/>
          </w:tcPr>
          <w:p w:rsidR="00932EF9" w:rsidRPr="00F56D77" w:rsidRDefault="00932EF9" w:rsidP="00F56D77">
            <w:pPr>
              <w:jc w:val="center"/>
              <w:rPr>
                <w:rFonts w:ascii="Times New Roman" w:hAnsi="Times New Roman" w:cs="Times New Roman"/>
                <w:sz w:val="16"/>
                <w:szCs w:val="16"/>
              </w:rPr>
            </w:pPr>
          </w:p>
        </w:tc>
      </w:tr>
      <w:tr w:rsidR="00F56D77" w:rsidRPr="00F56D77" w:rsidTr="00F56D77">
        <w:trPr>
          <w:jc w:val="center"/>
        </w:trPr>
        <w:tc>
          <w:tcPr>
            <w:tcW w:w="709" w:type="dxa"/>
            <w:vAlign w:val="center"/>
          </w:tcPr>
          <w:p w:rsidR="00F56D77" w:rsidRPr="00F56D77" w:rsidRDefault="00F56D77" w:rsidP="00F56D77">
            <w:pPr>
              <w:jc w:val="center"/>
              <w:rPr>
                <w:rFonts w:ascii="Times New Roman" w:hAnsi="Times New Roman" w:cs="Times New Roman"/>
                <w:color w:val="000000"/>
                <w:sz w:val="16"/>
                <w:szCs w:val="16"/>
              </w:rPr>
            </w:pPr>
          </w:p>
        </w:tc>
        <w:tc>
          <w:tcPr>
            <w:tcW w:w="992" w:type="dxa"/>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OR1_1114</w:t>
            </w:r>
          </w:p>
        </w:tc>
        <w:tc>
          <w:tcPr>
            <w:tcW w:w="1560" w:type="dxa"/>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-23.6172</w:t>
            </w:r>
          </w:p>
        </w:tc>
        <w:tc>
          <w:tcPr>
            <w:tcW w:w="1559" w:type="dxa"/>
            <w:vAlign w:val="center"/>
          </w:tcPr>
          <w:p w:rsidR="00F56D77" w:rsidRPr="00F56D77" w:rsidRDefault="00F56D77" w:rsidP="00F56D77">
            <w:pPr>
              <w:jc w:val="center"/>
              <w:rPr>
                <w:rFonts w:ascii="Times New Roman" w:hAnsi="Times New Roman" w:cs="Times New Roman"/>
                <w:sz w:val="16"/>
                <w:szCs w:val="16"/>
              </w:rPr>
            </w:pPr>
          </w:p>
        </w:tc>
        <w:tc>
          <w:tcPr>
            <w:tcW w:w="1134" w:type="dxa"/>
            <w:vAlign w:val="center"/>
          </w:tcPr>
          <w:p w:rsidR="00F56D77" w:rsidRPr="00F56D77" w:rsidRDefault="00F56D77" w:rsidP="00F56D77">
            <w:pPr>
              <w:jc w:val="center"/>
              <w:rPr>
                <w:rFonts w:ascii="Times New Roman" w:hAnsi="Times New Roman" w:cs="Times New Roman"/>
                <w:sz w:val="16"/>
                <w:szCs w:val="16"/>
              </w:rPr>
            </w:pPr>
          </w:p>
        </w:tc>
        <w:tc>
          <w:tcPr>
            <w:tcW w:w="236" w:type="dxa"/>
            <w:tcBorders>
              <w:top w:val="nil"/>
              <w:bottom w:val="nil"/>
            </w:tcBorders>
            <w:vAlign w:val="center"/>
          </w:tcPr>
          <w:p w:rsidR="00F56D77" w:rsidRPr="00F56D77" w:rsidRDefault="00F56D77" w:rsidP="00F56D77">
            <w:pPr>
              <w:jc w:val="center"/>
              <w:rPr>
                <w:rFonts w:ascii="Times New Roman" w:hAnsi="Times New Roman" w:cs="Times New Roman"/>
                <w:sz w:val="16"/>
                <w:szCs w:val="16"/>
              </w:rPr>
            </w:pPr>
          </w:p>
        </w:tc>
        <w:tc>
          <w:tcPr>
            <w:tcW w:w="1134" w:type="dxa"/>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14289.8524</w:t>
            </w:r>
          </w:p>
        </w:tc>
        <w:tc>
          <w:tcPr>
            <w:tcW w:w="1181" w:type="dxa"/>
            <w:tcBorders>
              <w:right w:val="nil"/>
            </w:tcBorders>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1571.695</w:t>
            </w:r>
            <w:r>
              <w:rPr>
                <w:rFonts w:ascii="Times New Roman" w:hAnsi="Times New Roman" w:cs="Times New Roman"/>
                <w:sz w:val="16"/>
                <w:szCs w:val="16"/>
              </w:rPr>
              <w:t>0</w:t>
            </w:r>
          </w:p>
        </w:tc>
        <w:tc>
          <w:tcPr>
            <w:tcW w:w="1607" w:type="dxa"/>
            <w:tcBorders>
              <w:left w:val="nil"/>
            </w:tcBorders>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225033.8413</w:t>
            </w:r>
          </w:p>
        </w:tc>
      </w:tr>
      <w:tr w:rsidR="00F56D77" w:rsidRPr="00F56D77" w:rsidTr="00F56D77">
        <w:trPr>
          <w:jc w:val="center"/>
        </w:trPr>
        <w:tc>
          <w:tcPr>
            <w:tcW w:w="709" w:type="dxa"/>
            <w:vAlign w:val="center"/>
          </w:tcPr>
          <w:p w:rsidR="00F56D77" w:rsidRPr="00F56D77" w:rsidRDefault="00F56D77" w:rsidP="00F56D77">
            <w:pPr>
              <w:jc w:val="center"/>
              <w:rPr>
                <w:rFonts w:ascii="Times New Roman" w:hAnsi="Times New Roman" w:cs="Times New Roman"/>
                <w:sz w:val="16"/>
                <w:szCs w:val="16"/>
              </w:rPr>
            </w:pPr>
          </w:p>
        </w:tc>
        <w:tc>
          <w:tcPr>
            <w:tcW w:w="992" w:type="dxa"/>
            <w:vAlign w:val="center"/>
          </w:tcPr>
          <w:p w:rsidR="00F56D77" w:rsidRPr="00F56D77" w:rsidRDefault="00F56D77" w:rsidP="00F56D77">
            <w:pPr>
              <w:widowControl/>
              <w:jc w:val="center"/>
              <w:rPr>
                <w:rFonts w:ascii="Times New Roman" w:hAnsi="Times New Roman" w:cs="Times New Roman"/>
                <w:color w:val="000000"/>
                <w:sz w:val="16"/>
                <w:szCs w:val="16"/>
              </w:rPr>
            </w:pPr>
            <w:r w:rsidRPr="00F56D77">
              <w:rPr>
                <w:rFonts w:ascii="Times New Roman" w:hAnsi="Times New Roman" w:cs="Times New Roman"/>
                <w:color w:val="000000"/>
                <w:sz w:val="16"/>
                <w:szCs w:val="16"/>
              </w:rPr>
              <w:t>OR1_1126</w:t>
            </w:r>
          </w:p>
        </w:tc>
        <w:tc>
          <w:tcPr>
            <w:tcW w:w="1560" w:type="dxa"/>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-20.7527</w:t>
            </w:r>
          </w:p>
        </w:tc>
        <w:tc>
          <w:tcPr>
            <w:tcW w:w="1559" w:type="dxa"/>
            <w:vAlign w:val="center"/>
          </w:tcPr>
          <w:p w:rsidR="00F56D77" w:rsidRPr="00F56D77" w:rsidRDefault="00F56D77" w:rsidP="00F56D77">
            <w:pPr>
              <w:widowControl/>
              <w:jc w:val="center"/>
              <w:rPr>
                <w:rFonts w:ascii="Times New Roman" w:hAnsi="Times New Roman" w:cs="Times New Roman"/>
                <w:color w:val="000000"/>
                <w:sz w:val="16"/>
                <w:szCs w:val="16"/>
              </w:rPr>
            </w:pPr>
            <w:r w:rsidRPr="00F56D77">
              <w:rPr>
                <w:rFonts w:ascii="Times New Roman" w:hAnsi="Times New Roman" w:cs="Times New Roman"/>
                <w:color w:val="000000"/>
                <w:sz w:val="16"/>
                <w:szCs w:val="16"/>
              </w:rPr>
              <w:t>-0.0007</w:t>
            </w:r>
          </w:p>
        </w:tc>
        <w:tc>
          <w:tcPr>
            <w:tcW w:w="1134" w:type="dxa"/>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-170325.5134</w:t>
            </w:r>
          </w:p>
        </w:tc>
        <w:tc>
          <w:tcPr>
            <w:tcW w:w="236" w:type="dxa"/>
            <w:tcBorders>
              <w:top w:val="nil"/>
              <w:bottom w:val="nil"/>
            </w:tcBorders>
            <w:vAlign w:val="center"/>
          </w:tcPr>
          <w:p w:rsidR="00F56D77" w:rsidRPr="00F56D77" w:rsidRDefault="00F56D77" w:rsidP="00F56D77">
            <w:pPr>
              <w:jc w:val="center"/>
              <w:rPr>
                <w:rFonts w:ascii="Times New Roman" w:hAnsi="Times New Roman" w:cs="Times New Roman"/>
                <w:sz w:val="16"/>
                <w:szCs w:val="16"/>
              </w:rPr>
            </w:pPr>
          </w:p>
        </w:tc>
        <w:tc>
          <w:tcPr>
            <w:tcW w:w="1134" w:type="dxa"/>
            <w:vAlign w:val="center"/>
          </w:tcPr>
          <w:p w:rsidR="00F56D77" w:rsidRPr="00F56D77" w:rsidRDefault="00F56D77" w:rsidP="00F56D77">
            <w:pPr>
              <w:widowControl/>
              <w:jc w:val="center"/>
              <w:rPr>
                <w:rFonts w:ascii="Times New Roman" w:hAnsi="Times New Roman" w:cs="Times New Roman"/>
                <w:color w:val="000000"/>
                <w:sz w:val="16"/>
                <w:szCs w:val="16"/>
              </w:rPr>
            </w:pPr>
            <w:r w:rsidRPr="00F56D77">
              <w:rPr>
                <w:rFonts w:ascii="Times New Roman" w:hAnsi="Times New Roman" w:cs="Times New Roman"/>
                <w:color w:val="000000"/>
                <w:sz w:val="16"/>
                <w:szCs w:val="16"/>
              </w:rPr>
              <w:t>3439.7432</w:t>
            </w:r>
          </w:p>
        </w:tc>
        <w:tc>
          <w:tcPr>
            <w:tcW w:w="1181" w:type="dxa"/>
            <w:tcBorders>
              <w:right w:val="nil"/>
            </w:tcBorders>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3013.2270</w:t>
            </w:r>
          </w:p>
        </w:tc>
        <w:tc>
          <w:tcPr>
            <w:tcW w:w="1607" w:type="dxa"/>
            <w:tcBorders>
              <w:left w:val="nil"/>
            </w:tcBorders>
            <w:vAlign w:val="center"/>
          </w:tcPr>
          <w:p w:rsidR="00F56D77" w:rsidRPr="00F56D77" w:rsidRDefault="00F56D77" w:rsidP="00F56D77">
            <w:pPr>
              <w:widowControl/>
              <w:jc w:val="center"/>
              <w:rPr>
                <w:rFonts w:ascii="Times New Roman" w:hAnsi="Times New Roman" w:cs="Times New Roman"/>
                <w:color w:val="000000"/>
                <w:sz w:val="16"/>
                <w:szCs w:val="16"/>
              </w:rPr>
            </w:pPr>
            <w:r w:rsidRPr="00F56D77">
              <w:rPr>
                <w:rFonts w:ascii="Times New Roman" w:hAnsi="Times New Roman" w:cs="Times New Roman"/>
                <w:color w:val="000000"/>
                <w:sz w:val="16"/>
                <w:szCs w:val="16"/>
              </w:rPr>
              <w:t>205224.4</w:t>
            </w:r>
            <w:r>
              <w:rPr>
                <w:rFonts w:ascii="Times New Roman" w:hAnsi="Times New Roman" w:cs="Times New Roman"/>
                <w:color w:val="000000"/>
                <w:sz w:val="16"/>
                <w:szCs w:val="16"/>
              </w:rPr>
              <w:t>000</w:t>
            </w:r>
          </w:p>
        </w:tc>
      </w:tr>
      <w:tr w:rsidR="00F56D77" w:rsidRPr="00F56D77" w:rsidTr="00F56D77">
        <w:trPr>
          <w:jc w:val="center"/>
        </w:trPr>
        <w:tc>
          <w:tcPr>
            <w:tcW w:w="709" w:type="dxa"/>
            <w:tcBorders>
              <w:bottom w:val="single" w:sz="4" w:space="0" w:color="auto"/>
            </w:tcBorders>
            <w:vAlign w:val="center"/>
          </w:tcPr>
          <w:p w:rsidR="00F56D77" w:rsidRPr="00F56D77" w:rsidRDefault="00F56D77" w:rsidP="00F56D77">
            <w:pPr>
              <w:jc w:val="center"/>
              <w:rPr>
                <w:rFonts w:ascii="Times New Roman" w:hAnsi="Times New Roman" w:cs="Times New Roman"/>
                <w:sz w:val="16"/>
                <w:szCs w:val="16"/>
              </w:rPr>
            </w:pPr>
          </w:p>
        </w:tc>
        <w:tc>
          <w:tcPr>
            <w:tcW w:w="992" w:type="dxa"/>
            <w:tcBorders>
              <w:bottom w:val="single" w:sz="4" w:space="0" w:color="auto"/>
            </w:tcBorders>
            <w:vAlign w:val="center"/>
          </w:tcPr>
          <w:p w:rsidR="00F56D77" w:rsidRPr="00F56D77" w:rsidRDefault="00F56D77" w:rsidP="00F56D77">
            <w:pPr>
              <w:jc w:val="center"/>
              <w:rPr>
                <w:rFonts w:ascii="Times New Roman" w:hAnsi="Times New Roman" w:cs="Times New Roman"/>
                <w:color w:val="000000"/>
                <w:sz w:val="16"/>
                <w:szCs w:val="16"/>
              </w:rPr>
            </w:pPr>
            <w:r w:rsidRPr="00F56D77">
              <w:rPr>
                <w:rFonts w:ascii="Times New Roman" w:hAnsi="Times New Roman" w:cs="Times New Roman"/>
                <w:color w:val="000000"/>
                <w:sz w:val="16"/>
                <w:szCs w:val="16"/>
              </w:rPr>
              <w:t>OR1_1190</w:t>
            </w:r>
          </w:p>
        </w:tc>
        <w:tc>
          <w:tcPr>
            <w:tcW w:w="1560" w:type="dxa"/>
            <w:tcBorders>
              <w:bottom w:val="single" w:sz="4" w:space="0" w:color="auto"/>
            </w:tcBorders>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-5.6613</w:t>
            </w:r>
          </w:p>
        </w:tc>
        <w:tc>
          <w:tcPr>
            <w:tcW w:w="1559" w:type="dxa"/>
            <w:tcBorders>
              <w:bottom w:val="single" w:sz="4" w:space="0" w:color="auto"/>
            </w:tcBorders>
            <w:vAlign w:val="center"/>
          </w:tcPr>
          <w:p w:rsidR="00F56D77" w:rsidRPr="00F56D77" w:rsidRDefault="00F56D77" w:rsidP="00F56D77">
            <w:pPr>
              <w:jc w:val="center"/>
              <w:rPr>
                <w:rFonts w:ascii="Times New Roman" w:hAnsi="Times New Roman" w:cs="Times New Roman"/>
                <w:color w:val="000000"/>
                <w:sz w:val="16"/>
                <w:szCs w:val="16"/>
              </w:rPr>
            </w:pPr>
            <w:r w:rsidRPr="00F56D77">
              <w:rPr>
                <w:rFonts w:ascii="Times New Roman" w:hAnsi="Times New Roman" w:cs="Times New Roman"/>
                <w:color w:val="000000"/>
                <w:sz w:val="16"/>
                <w:szCs w:val="16"/>
              </w:rPr>
              <w:t>-0.0011</w:t>
            </w:r>
          </w:p>
        </w:tc>
        <w:tc>
          <w:tcPr>
            <w:tcW w:w="1134" w:type="dxa"/>
            <w:tcBorders>
              <w:bottom w:val="single" w:sz="4" w:space="0" w:color="auto"/>
            </w:tcBorders>
            <w:vAlign w:val="center"/>
          </w:tcPr>
          <w:p w:rsidR="00F56D77" w:rsidRPr="00F56D77" w:rsidRDefault="00F56D77" w:rsidP="00F56D77">
            <w:pPr>
              <w:jc w:val="center"/>
              <w:rPr>
                <w:rFonts w:ascii="Times New Roman" w:hAnsi="Times New Roman" w:cs="Times New Roman"/>
                <w:sz w:val="16"/>
                <w:szCs w:val="16"/>
              </w:rPr>
            </w:pPr>
            <w:r w:rsidRPr="00F56D77">
              <w:rPr>
                <w:rFonts w:ascii="Times New Roman" w:hAnsi="Times New Roman" w:cs="Times New Roman"/>
                <w:sz w:val="16"/>
                <w:szCs w:val="16"/>
              </w:rPr>
              <w:t>-41056.6542</w:t>
            </w:r>
          </w:p>
        </w:tc>
        <w:tc>
          <w:tcPr>
            <w:tcW w:w="236" w:type="dxa"/>
            <w:tcBorders>
              <w:top w:val="nil"/>
              <w:bottom w:val="single" w:sz="4" w:space="0" w:color="auto"/>
            </w:tcBorders>
            <w:vAlign w:val="center"/>
          </w:tcPr>
          <w:p w:rsidR="00F56D77" w:rsidRPr="00F56D77" w:rsidRDefault="00F56D77" w:rsidP="00F56D77">
            <w:pPr>
              <w:jc w:val="center"/>
              <w:rPr>
                <w:rFonts w:ascii="Times New Roman" w:hAnsi="Times New Roman" w:cs="Times New Roman"/>
                <w:sz w:val="16"/>
                <w:szCs w:val="16"/>
              </w:rPr>
            </w:pPr>
          </w:p>
        </w:tc>
        <w:tc>
          <w:tcPr>
            <w:tcW w:w="1134" w:type="dxa"/>
            <w:tcBorders>
              <w:bottom w:val="single" w:sz="4" w:space="0" w:color="auto"/>
            </w:tcBorders>
            <w:vAlign w:val="center"/>
          </w:tcPr>
          <w:p w:rsidR="00F56D77" w:rsidRPr="00F56D77" w:rsidRDefault="00F56D77" w:rsidP="00F56D77">
            <w:pPr>
              <w:jc w:val="center"/>
              <w:rPr>
                <w:rFonts w:ascii="Times New Roman" w:hAnsi="Times New Roman" w:cs="Times New Roman"/>
                <w:color w:val="000000"/>
                <w:sz w:val="16"/>
                <w:szCs w:val="16"/>
              </w:rPr>
            </w:pPr>
            <w:r w:rsidRPr="00F56D77">
              <w:rPr>
                <w:rFonts w:ascii="Times New Roman" w:hAnsi="Times New Roman" w:cs="Times New Roman"/>
                <w:color w:val="000000"/>
                <w:sz w:val="16"/>
                <w:szCs w:val="16"/>
              </w:rPr>
              <w:t>43.5657</w:t>
            </w:r>
          </w:p>
        </w:tc>
        <w:tc>
          <w:tcPr>
            <w:tcW w:w="1181" w:type="dxa"/>
            <w:tcBorders>
              <w:bottom w:val="single" w:sz="4" w:space="0" w:color="auto"/>
              <w:right w:val="nil"/>
            </w:tcBorders>
            <w:vAlign w:val="center"/>
          </w:tcPr>
          <w:p w:rsidR="00F56D77" w:rsidRPr="00F56D77" w:rsidRDefault="00F56D77" w:rsidP="00F56D77">
            <w:pPr>
              <w:jc w:val="center"/>
              <w:rPr>
                <w:rFonts w:ascii="Times New Roman" w:hAnsi="Times New Roman" w:cs="Times New Roman"/>
                <w:sz w:val="16"/>
                <w:szCs w:val="16"/>
              </w:rPr>
            </w:pPr>
          </w:p>
        </w:tc>
        <w:tc>
          <w:tcPr>
            <w:tcW w:w="1607" w:type="dxa"/>
            <w:tcBorders>
              <w:left w:val="nil"/>
              <w:bottom w:val="single" w:sz="4" w:space="0" w:color="auto"/>
            </w:tcBorders>
            <w:vAlign w:val="center"/>
          </w:tcPr>
          <w:p w:rsidR="00F56D77" w:rsidRPr="00F56D77" w:rsidRDefault="00F56D77" w:rsidP="00F56D77">
            <w:pPr>
              <w:jc w:val="center"/>
              <w:rPr>
                <w:rFonts w:ascii="Times New Roman" w:hAnsi="Times New Roman" w:cs="Times New Roman"/>
                <w:color w:val="000000"/>
                <w:sz w:val="16"/>
                <w:szCs w:val="16"/>
              </w:rPr>
            </w:pPr>
            <w:r w:rsidRPr="00F56D77">
              <w:rPr>
                <w:rFonts w:ascii="Times New Roman" w:hAnsi="Times New Roman" w:cs="Times New Roman"/>
                <w:color w:val="000000"/>
                <w:sz w:val="16"/>
                <w:szCs w:val="16"/>
              </w:rPr>
              <w:t>57701.23</w:t>
            </w:r>
            <w:r>
              <w:rPr>
                <w:rFonts w:ascii="Times New Roman" w:hAnsi="Times New Roman" w:cs="Times New Roman"/>
                <w:color w:val="000000"/>
                <w:sz w:val="16"/>
                <w:szCs w:val="16"/>
              </w:rPr>
              <w:t>00</w:t>
            </w:r>
          </w:p>
        </w:tc>
      </w:tr>
    </w:tbl>
    <w:p w:rsidR="00AC6C22" w:rsidRDefault="00AC6C22">
      <w:pPr>
        <w:rPr>
          <w:rFonts w:ascii="Times New Roman" w:hAnsi="Times New Roman" w:cs="Times New Roman"/>
        </w:rPr>
      </w:pPr>
    </w:p>
    <w:p w:rsidR="001369F8" w:rsidRDefault="001369F8">
      <w:pPr>
        <w:rPr>
          <w:rFonts w:ascii="Times New Roman" w:hAnsi="Times New Roman" w:cs="Times New Roman"/>
        </w:rPr>
      </w:pPr>
    </w:p>
    <w:p w:rsidR="001369F8" w:rsidRDefault="001369F8">
      <w:pPr>
        <w:rPr>
          <w:rFonts w:ascii="Times New Roman" w:hAnsi="Times New Roman" w:cs="Times New Roman"/>
        </w:rPr>
      </w:pPr>
      <w:r w:rsidRPr="001369F8">
        <w:rPr>
          <w:rFonts w:ascii="Times New Roman" w:hAnsi="Times New Roman" w:cs="Times New Roman" w:hint="eastAsia"/>
        </w:rPr>
        <w:t>一、論文次序</w:t>
      </w:r>
    </w:p>
    <w:p w:rsidR="001369F8" w:rsidRDefault="001369F8">
      <w:pPr>
        <w:rPr>
          <w:rFonts w:ascii="Times New Roman" w:hAnsi="Times New Roman" w:cs="Times New Roman"/>
        </w:rPr>
      </w:pPr>
      <w:r w:rsidRPr="001369F8">
        <w:rPr>
          <w:rFonts w:ascii="Times New Roman" w:hAnsi="Times New Roman" w:cs="Times New Roman" w:hint="eastAsia"/>
        </w:rPr>
        <w:t>1.</w:t>
      </w:r>
      <w:r w:rsidRPr="001369F8">
        <w:rPr>
          <w:rFonts w:ascii="Times New Roman" w:hAnsi="Times New Roman" w:cs="Times New Roman" w:hint="eastAsia"/>
        </w:rPr>
        <w:t>封面（含側邊）【詳附件</w:t>
      </w:r>
      <w:r w:rsidRPr="001369F8">
        <w:rPr>
          <w:rFonts w:ascii="Times New Roman" w:hAnsi="Times New Roman" w:cs="Times New Roman" w:hint="eastAsia"/>
        </w:rPr>
        <w:t>1</w:t>
      </w:r>
      <w:r w:rsidRPr="001369F8">
        <w:rPr>
          <w:rFonts w:ascii="Times New Roman" w:hAnsi="Times New Roman" w:cs="Times New Roman" w:hint="eastAsia"/>
        </w:rPr>
        <w:t>】</w:t>
      </w:r>
    </w:p>
    <w:p w:rsidR="001369F8" w:rsidRDefault="001369F8">
      <w:pPr>
        <w:rPr>
          <w:rFonts w:ascii="Times New Roman" w:hAnsi="Times New Roman" w:cs="Times New Roman"/>
        </w:rPr>
      </w:pPr>
      <w:r w:rsidRPr="001369F8">
        <w:rPr>
          <w:rFonts w:ascii="Times New Roman" w:hAnsi="Times New Roman" w:cs="Times New Roman" w:hint="eastAsia"/>
        </w:rPr>
        <w:t>2.</w:t>
      </w:r>
      <w:r w:rsidRPr="001369F8">
        <w:rPr>
          <w:rFonts w:ascii="Times New Roman" w:hAnsi="Times New Roman" w:cs="Times New Roman" w:hint="eastAsia"/>
        </w:rPr>
        <w:t>論文口試委員審定書【詳附件</w:t>
      </w:r>
      <w:r w:rsidRPr="001369F8">
        <w:rPr>
          <w:rFonts w:ascii="Times New Roman" w:hAnsi="Times New Roman" w:cs="Times New Roman" w:hint="eastAsia"/>
        </w:rPr>
        <w:t>2</w:t>
      </w:r>
      <w:r w:rsidRPr="001369F8">
        <w:rPr>
          <w:rFonts w:ascii="Times New Roman" w:hAnsi="Times New Roman" w:cs="Times New Roman" w:hint="eastAsia"/>
        </w:rPr>
        <w:t>】</w:t>
      </w:r>
    </w:p>
    <w:p w:rsidR="001369F8" w:rsidRDefault="001369F8">
      <w:pPr>
        <w:rPr>
          <w:rFonts w:ascii="Times New Roman" w:hAnsi="Times New Roman" w:cs="Times New Roman"/>
        </w:rPr>
      </w:pPr>
      <w:r w:rsidRPr="001369F8">
        <w:rPr>
          <w:rFonts w:ascii="Times New Roman" w:hAnsi="Times New Roman" w:cs="Times New Roman" w:hint="eastAsia"/>
        </w:rPr>
        <w:t>3.</w:t>
      </w:r>
      <w:r w:rsidRPr="001369F8">
        <w:rPr>
          <w:rFonts w:ascii="Times New Roman" w:hAnsi="Times New Roman" w:cs="Times New Roman" w:hint="eastAsia"/>
        </w:rPr>
        <w:t>序言或</w:t>
      </w:r>
      <w:r w:rsidRPr="001369F8">
        <w:rPr>
          <w:rFonts w:ascii="Times New Roman" w:hAnsi="Times New Roman" w:cs="Times New Roman" w:hint="eastAsia"/>
        </w:rPr>
        <w:t xml:space="preserve">  </w:t>
      </w:r>
      <w:r w:rsidRPr="001369F8">
        <w:rPr>
          <w:rFonts w:ascii="Times New Roman" w:hAnsi="Times New Roman" w:cs="Times New Roman" w:hint="eastAsia"/>
        </w:rPr>
        <w:t>謝辭</w:t>
      </w:r>
    </w:p>
    <w:p w:rsidR="001369F8" w:rsidRDefault="001369F8">
      <w:pPr>
        <w:rPr>
          <w:rFonts w:ascii="Times New Roman" w:hAnsi="Times New Roman" w:cs="Times New Roman"/>
        </w:rPr>
      </w:pPr>
      <w:r w:rsidRPr="001369F8">
        <w:rPr>
          <w:rFonts w:ascii="Times New Roman" w:hAnsi="Times New Roman" w:cs="Times New Roman" w:hint="eastAsia"/>
        </w:rPr>
        <w:t>4.</w:t>
      </w:r>
      <w:r w:rsidRPr="001369F8">
        <w:rPr>
          <w:rFonts w:ascii="Times New Roman" w:hAnsi="Times New Roman" w:cs="Times New Roman" w:hint="eastAsia"/>
        </w:rPr>
        <w:t>中文摘要及關鍵詞</w:t>
      </w:r>
      <w:r w:rsidRPr="001369F8">
        <w:rPr>
          <w:rFonts w:ascii="Times New Roman" w:hAnsi="Times New Roman" w:cs="Times New Roman" w:hint="eastAsia"/>
        </w:rPr>
        <w:t>5-7</w:t>
      </w:r>
      <w:r w:rsidRPr="001369F8">
        <w:rPr>
          <w:rFonts w:ascii="Times New Roman" w:hAnsi="Times New Roman" w:cs="Times New Roman" w:hint="eastAsia"/>
        </w:rPr>
        <w:t>個</w:t>
      </w:r>
    </w:p>
    <w:p w:rsidR="001369F8" w:rsidRDefault="001369F8">
      <w:pPr>
        <w:rPr>
          <w:rFonts w:ascii="Times New Roman" w:hAnsi="Times New Roman" w:cs="Times New Roman"/>
        </w:rPr>
      </w:pPr>
      <w:r w:rsidRPr="001369F8">
        <w:rPr>
          <w:rFonts w:ascii="Times New Roman" w:hAnsi="Times New Roman" w:cs="Times New Roman" w:hint="eastAsia"/>
        </w:rPr>
        <w:t>5.</w:t>
      </w:r>
      <w:r w:rsidRPr="001369F8">
        <w:rPr>
          <w:rFonts w:ascii="Times New Roman" w:hAnsi="Times New Roman" w:cs="Times New Roman" w:hint="eastAsia"/>
        </w:rPr>
        <w:t>英文摘要及關鍵詞</w:t>
      </w:r>
      <w:r w:rsidRPr="001369F8">
        <w:rPr>
          <w:rFonts w:ascii="Times New Roman" w:hAnsi="Times New Roman" w:cs="Times New Roman" w:hint="eastAsia"/>
        </w:rPr>
        <w:t>5-7</w:t>
      </w:r>
      <w:r w:rsidRPr="001369F8">
        <w:rPr>
          <w:rFonts w:ascii="Times New Roman" w:hAnsi="Times New Roman" w:cs="Times New Roman" w:hint="eastAsia"/>
        </w:rPr>
        <w:t>個</w:t>
      </w:r>
    </w:p>
    <w:p w:rsidR="001369F8" w:rsidRDefault="001369F8">
      <w:pPr>
        <w:rPr>
          <w:rFonts w:ascii="Times New Roman" w:hAnsi="Times New Roman" w:cs="Times New Roman"/>
        </w:rPr>
      </w:pPr>
      <w:r w:rsidRPr="001369F8">
        <w:rPr>
          <w:rFonts w:ascii="Times New Roman" w:hAnsi="Times New Roman" w:cs="Times New Roman" w:hint="eastAsia"/>
        </w:rPr>
        <w:t>6.</w:t>
      </w:r>
      <w:r w:rsidRPr="001369F8">
        <w:rPr>
          <w:rFonts w:ascii="Times New Roman" w:hAnsi="Times New Roman" w:cs="Times New Roman" w:hint="eastAsia"/>
        </w:rPr>
        <w:t>目錄【詳附件</w:t>
      </w:r>
      <w:r w:rsidRPr="001369F8">
        <w:rPr>
          <w:rFonts w:ascii="Times New Roman" w:hAnsi="Times New Roman" w:cs="Times New Roman" w:hint="eastAsia"/>
        </w:rPr>
        <w:t>3</w:t>
      </w:r>
      <w:r w:rsidRPr="001369F8">
        <w:rPr>
          <w:rFonts w:ascii="Times New Roman" w:hAnsi="Times New Roman" w:cs="Times New Roman" w:hint="eastAsia"/>
        </w:rPr>
        <w:t>】</w:t>
      </w:r>
    </w:p>
    <w:p w:rsidR="001369F8" w:rsidRDefault="001369F8">
      <w:pPr>
        <w:rPr>
          <w:rFonts w:ascii="Times New Roman" w:hAnsi="Times New Roman" w:cs="Times New Roman"/>
        </w:rPr>
      </w:pPr>
      <w:r w:rsidRPr="001369F8">
        <w:rPr>
          <w:rFonts w:ascii="Times New Roman" w:hAnsi="Times New Roman" w:cs="Times New Roman" w:hint="eastAsia"/>
        </w:rPr>
        <w:t>7.</w:t>
      </w:r>
      <w:r w:rsidRPr="001369F8">
        <w:rPr>
          <w:rFonts w:ascii="Times New Roman" w:hAnsi="Times New Roman" w:cs="Times New Roman" w:hint="eastAsia"/>
        </w:rPr>
        <w:t>圖目錄</w:t>
      </w:r>
    </w:p>
    <w:p w:rsidR="001369F8" w:rsidRDefault="001369F8">
      <w:pPr>
        <w:rPr>
          <w:rFonts w:ascii="Times New Roman" w:hAnsi="Times New Roman" w:cs="Times New Roman"/>
        </w:rPr>
      </w:pPr>
      <w:r w:rsidRPr="001369F8">
        <w:rPr>
          <w:rFonts w:ascii="Times New Roman" w:hAnsi="Times New Roman" w:cs="Times New Roman" w:hint="eastAsia"/>
        </w:rPr>
        <w:t>8.</w:t>
      </w:r>
      <w:r w:rsidRPr="001369F8">
        <w:rPr>
          <w:rFonts w:ascii="Times New Roman" w:hAnsi="Times New Roman" w:cs="Times New Roman" w:hint="eastAsia"/>
        </w:rPr>
        <w:t>表目錄</w:t>
      </w:r>
    </w:p>
    <w:p w:rsidR="001369F8" w:rsidRDefault="001369F8">
      <w:pPr>
        <w:rPr>
          <w:rFonts w:ascii="Times New Roman" w:hAnsi="Times New Roman" w:cs="Times New Roman"/>
        </w:rPr>
      </w:pPr>
      <w:r w:rsidRPr="001369F8">
        <w:rPr>
          <w:rFonts w:ascii="Times New Roman" w:hAnsi="Times New Roman" w:cs="Times New Roman" w:hint="eastAsia"/>
        </w:rPr>
        <w:t>9.</w:t>
      </w:r>
      <w:r w:rsidRPr="001369F8">
        <w:rPr>
          <w:rFonts w:ascii="Times New Roman" w:hAnsi="Times New Roman" w:cs="Times New Roman" w:hint="eastAsia"/>
        </w:rPr>
        <w:t>論文正文</w:t>
      </w:r>
    </w:p>
    <w:p w:rsidR="001369F8" w:rsidRDefault="001369F8">
      <w:pPr>
        <w:rPr>
          <w:rFonts w:ascii="Times New Roman" w:hAnsi="Times New Roman" w:cs="Times New Roman"/>
        </w:rPr>
      </w:pPr>
      <w:r w:rsidRPr="001369F8">
        <w:rPr>
          <w:rFonts w:ascii="Times New Roman" w:hAnsi="Times New Roman" w:cs="Times New Roman" w:hint="eastAsia"/>
        </w:rPr>
        <w:t>10.</w:t>
      </w:r>
      <w:r w:rsidRPr="001369F8">
        <w:rPr>
          <w:rFonts w:ascii="Times New Roman" w:hAnsi="Times New Roman" w:cs="Times New Roman" w:hint="eastAsia"/>
        </w:rPr>
        <w:t>參考文獻</w:t>
      </w:r>
    </w:p>
    <w:p w:rsidR="001369F8" w:rsidRDefault="001369F8">
      <w:pPr>
        <w:rPr>
          <w:rFonts w:ascii="Times New Roman" w:hAnsi="Times New Roman" w:cs="Times New Roman"/>
        </w:rPr>
      </w:pPr>
      <w:r w:rsidRPr="001369F8">
        <w:rPr>
          <w:rFonts w:ascii="Times New Roman" w:hAnsi="Times New Roman" w:cs="Times New Roman" w:hint="eastAsia"/>
        </w:rPr>
        <w:t>11.</w:t>
      </w:r>
      <w:r w:rsidRPr="001369F8">
        <w:rPr>
          <w:rFonts w:ascii="Times New Roman" w:hAnsi="Times New Roman" w:cs="Times New Roman" w:hint="eastAsia"/>
        </w:rPr>
        <w:t>附錄</w:t>
      </w:r>
    </w:p>
    <w:p w:rsidR="001369F8" w:rsidRPr="005856CB" w:rsidRDefault="001369F8">
      <w:pPr>
        <w:rPr>
          <w:rFonts w:ascii="Times New Roman" w:hAnsi="Times New Roman" w:cs="Times New Roman" w:hint="eastAsia"/>
        </w:rPr>
      </w:pPr>
      <w:bookmarkStart w:id="0" w:name="_GoBack"/>
      <w:bookmarkEnd w:id="0"/>
      <w:r w:rsidRPr="001369F8">
        <w:rPr>
          <w:rFonts w:ascii="Times New Roman" w:hAnsi="Times New Roman" w:cs="Times New Roman" w:hint="eastAsia"/>
        </w:rPr>
        <w:t>12.</w:t>
      </w:r>
      <w:r w:rsidRPr="001369F8">
        <w:rPr>
          <w:rFonts w:ascii="Times New Roman" w:hAnsi="Times New Roman" w:cs="Times New Roman" w:hint="eastAsia"/>
        </w:rPr>
        <w:t>封底</w:t>
      </w:r>
    </w:p>
    <w:sectPr w:rsidR="001369F8" w:rsidRPr="005856C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470" w:rsidRDefault="006D4470" w:rsidP="00EB43FA">
      <w:r>
        <w:separator/>
      </w:r>
    </w:p>
  </w:endnote>
  <w:endnote w:type="continuationSeparator" w:id="0">
    <w:p w:rsidR="006D4470" w:rsidRDefault="006D4470" w:rsidP="00EB4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470" w:rsidRDefault="006D4470" w:rsidP="00EB43FA">
      <w:r>
        <w:separator/>
      </w:r>
    </w:p>
  </w:footnote>
  <w:footnote w:type="continuationSeparator" w:id="0">
    <w:p w:rsidR="006D4470" w:rsidRDefault="006D4470" w:rsidP="00EB43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D9C"/>
    <w:rsid w:val="0000111F"/>
    <w:rsid w:val="00050D67"/>
    <w:rsid w:val="00082E87"/>
    <w:rsid w:val="000A1521"/>
    <w:rsid w:val="001369F8"/>
    <w:rsid w:val="00151350"/>
    <w:rsid w:val="00193596"/>
    <w:rsid w:val="001937F2"/>
    <w:rsid w:val="001B0866"/>
    <w:rsid w:val="001C13FB"/>
    <w:rsid w:val="001C4670"/>
    <w:rsid w:val="001D517A"/>
    <w:rsid w:val="001E7773"/>
    <w:rsid w:val="002B0A85"/>
    <w:rsid w:val="003666D2"/>
    <w:rsid w:val="00384433"/>
    <w:rsid w:val="003865A9"/>
    <w:rsid w:val="003B77B9"/>
    <w:rsid w:val="003F3972"/>
    <w:rsid w:val="004526A8"/>
    <w:rsid w:val="004A437D"/>
    <w:rsid w:val="004E22E7"/>
    <w:rsid w:val="004F0967"/>
    <w:rsid w:val="00524145"/>
    <w:rsid w:val="0052761A"/>
    <w:rsid w:val="0053611F"/>
    <w:rsid w:val="0054133D"/>
    <w:rsid w:val="0055108F"/>
    <w:rsid w:val="005714DA"/>
    <w:rsid w:val="005856CB"/>
    <w:rsid w:val="005C65C7"/>
    <w:rsid w:val="005D1921"/>
    <w:rsid w:val="00615677"/>
    <w:rsid w:val="00643186"/>
    <w:rsid w:val="00650631"/>
    <w:rsid w:val="00672A40"/>
    <w:rsid w:val="006808C0"/>
    <w:rsid w:val="006A76B1"/>
    <w:rsid w:val="006D4470"/>
    <w:rsid w:val="006E5D4A"/>
    <w:rsid w:val="006F2424"/>
    <w:rsid w:val="00723D93"/>
    <w:rsid w:val="00750C58"/>
    <w:rsid w:val="007530FC"/>
    <w:rsid w:val="00761451"/>
    <w:rsid w:val="007A39D1"/>
    <w:rsid w:val="007F2907"/>
    <w:rsid w:val="00814C67"/>
    <w:rsid w:val="008270A2"/>
    <w:rsid w:val="0083536B"/>
    <w:rsid w:val="00843A72"/>
    <w:rsid w:val="0086006A"/>
    <w:rsid w:val="008F4F47"/>
    <w:rsid w:val="009018C7"/>
    <w:rsid w:val="00925325"/>
    <w:rsid w:val="00932EF9"/>
    <w:rsid w:val="00977AD4"/>
    <w:rsid w:val="0099220B"/>
    <w:rsid w:val="009A5794"/>
    <w:rsid w:val="009B6A48"/>
    <w:rsid w:val="009C382B"/>
    <w:rsid w:val="009C7C2A"/>
    <w:rsid w:val="009F3F64"/>
    <w:rsid w:val="00A30622"/>
    <w:rsid w:val="00A414CA"/>
    <w:rsid w:val="00A421E2"/>
    <w:rsid w:val="00A94A91"/>
    <w:rsid w:val="00AC6C22"/>
    <w:rsid w:val="00AF015F"/>
    <w:rsid w:val="00B01645"/>
    <w:rsid w:val="00B07FA6"/>
    <w:rsid w:val="00B20E1E"/>
    <w:rsid w:val="00B2166D"/>
    <w:rsid w:val="00B34594"/>
    <w:rsid w:val="00B43340"/>
    <w:rsid w:val="00B54574"/>
    <w:rsid w:val="00BB6ADA"/>
    <w:rsid w:val="00BC378B"/>
    <w:rsid w:val="00BF6CC2"/>
    <w:rsid w:val="00C666E3"/>
    <w:rsid w:val="00C97C4C"/>
    <w:rsid w:val="00CD430F"/>
    <w:rsid w:val="00D51B16"/>
    <w:rsid w:val="00DB773E"/>
    <w:rsid w:val="00E21B33"/>
    <w:rsid w:val="00E61051"/>
    <w:rsid w:val="00EB32F0"/>
    <w:rsid w:val="00EB43FA"/>
    <w:rsid w:val="00EC5562"/>
    <w:rsid w:val="00F13190"/>
    <w:rsid w:val="00F252D2"/>
    <w:rsid w:val="00F56D77"/>
    <w:rsid w:val="00F56E6B"/>
    <w:rsid w:val="00F95395"/>
    <w:rsid w:val="00FA065C"/>
    <w:rsid w:val="00FA3D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7CACA"/>
  <w15:chartTrackingRefBased/>
  <w15:docId w15:val="{CF38F9B1-EE16-4A56-B1CC-D0038A7A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43FA"/>
    <w:pPr>
      <w:tabs>
        <w:tab w:val="center" w:pos="4153"/>
        <w:tab w:val="right" w:pos="8306"/>
      </w:tabs>
      <w:snapToGrid w:val="0"/>
    </w:pPr>
    <w:rPr>
      <w:sz w:val="20"/>
      <w:szCs w:val="20"/>
    </w:rPr>
  </w:style>
  <w:style w:type="character" w:customStyle="1" w:styleId="a4">
    <w:name w:val="頁首 字元"/>
    <w:basedOn w:val="a0"/>
    <w:link w:val="a3"/>
    <w:uiPriority w:val="99"/>
    <w:rsid w:val="00EB43FA"/>
    <w:rPr>
      <w:sz w:val="20"/>
      <w:szCs w:val="20"/>
    </w:rPr>
  </w:style>
  <w:style w:type="paragraph" w:styleId="a5">
    <w:name w:val="footer"/>
    <w:basedOn w:val="a"/>
    <w:link w:val="a6"/>
    <w:uiPriority w:val="99"/>
    <w:unhideWhenUsed/>
    <w:rsid w:val="00EB43FA"/>
    <w:pPr>
      <w:tabs>
        <w:tab w:val="center" w:pos="4153"/>
        <w:tab w:val="right" w:pos="8306"/>
      </w:tabs>
      <w:snapToGrid w:val="0"/>
    </w:pPr>
    <w:rPr>
      <w:sz w:val="20"/>
      <w:szCs w:val="20"/>
    </w:rPr>
  </w:style>
  <w:style w:type="character" w:customStyle="1" w:styleId="a6">
    <w:name w:val="頁尾 字元"/>
    <w:basedOn w:val="a0"/>
    <w:link w:val="a5"/>
    <w:uiPriority w:val="99"/>
    <w:rsid w:val="00EB43FA"/>
    <w:rPr>
      <w:sz w:val="20"/>
      <w:szCs w:val="20"/>
    </w:rPr>
  </w:style>
  <w:style w:type="table" w:styleId="a7">
    <w:name w:val="Table Grid"/>
    <w:basedOn w:val="a1"/>
    <w:uiPriority w:val="39"/>
    <w:rsid w:val="00AC6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3814">
      <w:bodyDiv w:val="1"/>
      <w:marLeft w:val="0"/>
      <w:marRight w:val="0"/>
      <w:marTop w:val="0"/>
      <w:marBottom w:val="0"/>
      <w:divBdr>
        <w:top w:val="none" w:sz="0" w:space="0" w:color="auto"/>
        <w:left w:val="none" w:sz="0" w:space="0" w:color="auto"/>
        <w:bottom w:val="none" w:sz="0" w:space="0" w:color="auto"/>
        <w:right w:val="none" w:sz="0" w:space="0" w:color="auto"/>
      </w:divBdr>
    </w:div>
    <w:div w:id="135490019">
      <w:bodyDiv w:val="1"/>
      <w:marLeft w:val="0"/>
      <w:marRight w:val="0"/>
      <w:marTop w:val="0"/>
      <w:marBottom w:val="0"/>
      <w:divBdr>
        <w:top w:val="none" w:sz="0" w:space="0" w:color="auto"/>
        <w:left w:val="none" w:sz="0" w:space="0" w:color="auto"/>
        <w:bottom w:val="none" w:sz="0" w:space="0" w:color="auto"/>
        <w:right w:val="none" w:sz="0" w:space="0" w:color="auto"/>
      </w:divBdr>
    </w:div>
    <w:div w:id="261836571">
      <w:bodyDiv w:val="1"/>
      <w:marLeft w:val="0"/>
      <w:marRight w:val="0"/>
      <w:marTop w:val="0"/>
      <w:marBottom w:val="0"/>
      <w:divBdr>
        <w:top w:val="none" w:sz="0" w:space="0" w:color="auto"/>
        <w:left w:val="none" w:sz="0" w:space="0" w:color="auto"/>
        <w:bottom w:val="none" w:sz="0" w:space="0" w:color="auto"/>
        <w:right w:val="none" w:sz="0" w:space="0" w:color="auto"/>
      </w:divBdr>
    </w:div>
    <w:div w:id="349064699">
      <w:bodyDiv w:val="1"/>
      <w:marLeft w:val="0"/>
      <w:marRight w:val="0"/>
      <w:marTop w:val="0"/>
      <w:marBottom w:val="0"/>
      <w:divBdr>
        <w:top w:val="none" w:sz="0" w:space="0" w:color="auto"/>
        <w:left w:val="none" w:sz="0" w:space="0" w:color="auto"/>
        <w:bottom w:val="none" w:sz="0" w:space="0" w:color="auto"/>
        <w:right w:val="none" w:sz="0" w:space="0" w:color="auto"/>
      </w:divBdr>
    </w:div>
    <w:div w:id="669068148">
      <w:bodyDiv w:val="1"/>
      <w:marLeft w:val="0"/>
      <w:marRight w:val="0"/>
      <w:marTop w:val="0"/>
      <w:marBottom w:val="0"/>
      <w:divBdr>
        <w:top w:val="none" w:sz="0" w:space="0" w:color="auto"/>
        <w:left w:val="none" w:sz="0" w:space="0" w:color="auto"/>
        <w:bottom w:val="none" w:sz="0" w:space="0" w:color="auto"/>
        <w:right w:val="none" w:sz="0" w:space="0" w:color="auto"/>
      </w:divBdr>
    </w:div>
    <w:div w:id="870606099">
      <w:bodyDiv w:val="1"/>
      <w:marLeft w:val="0"/>
      <w:marRight w:val="0"/>
      <w:marTop w:val="0"/>
      <w:marBottom w:val="0"/>
      <w:divBdr>
        <w:top w:val="none" w:sz="0" w:space="0" w:color="auto"/>
        <w:left w:val="none" w:sz="0" w:space="0" w:color="auto"/>
        <w:bottom w:val="none" w:sz="0" w:space="0" w:color="auto"/>
        <w:right w:val="none" w:sz="0" w:space="0" w:color="auto"/>
      </w:divBdr>
    </w:div>
    <w:div w:id="1147553121">
      <w:bodyDiv w:val="1"/>
      <w:marLeft w:val="0"/>
      <w:marRight w:val="0"/>
      <w:marTop w:val="0"/>
      <w:marBottom w:val="0"/>
      <w:divBdr>
        <w:top w:val="none" w:sz="0" w:space="0" w:color="auto"/>
        <w:left w:val="none" w:sz="0" w:space="0" w:color="auto"/>
        <w:bottom w:val="none" w:sz="0" w:space="0" w:color="auto"/>
        <w:right w:val="none" w:sz="0" w:space="0" w:color="auto"/>
      </w:divBdr>
    </w:div>
    <w:div w:id="1248267487">
      <w:bodyDiv w:val="1"/>
      <w:marLeft w:val="0"/>
      <w:marRight w:val="0"/>
      <w:marTop w:val="0"/>
      <w:marBottom w:val="0"/>
      <w:divBdr>
        <w:top w:val="none" w:sz="0" w:space="0" w:color="auto"/>
        <w:left w:val="none" w:sz="0" w:space="0" w:color="auto"/>
        <w:bottom w:val="none" w:sz="0" w:space="0" w:color="auto"/>
        <w:right w:val="none" w:sz="0" w:space="0" w:color="auto"/>
      </w:divBdr>
    </w:div>
    <w:div w:id="1287542790">
      <w:bodyDiv w:val="1"/>
      <w:marLeft w:val="0"/>
      <w:marRight w:val="0"/>
      <w:marTop w:val="0"/>
      <w:marBottom w:val="0"/>
      <w:divBdr>
        <w:top w:val="none" w:sz="0" w:space="0" w:color="auto"/>
        <w:left w:val="none" w:sz="0" w:space="0" w:color="auto"/>
        <w:bottom w:val="none" w:sz="0" w:space="0" w:color="auto"/>
        <w:right w:val="none" w:sz="0" w:space="0" w:color="auto"/>
      </w:divBdr>
    </w:div>
    <w:div w:id="1300693009">
      <w:bodyDiv w:val="1"/>
      <w:marLeft w:val="0"/>
      <w:marRight w:val="0"/>
      <w:marTop w:val="0"/>
      <w:marBottom w:val="0"/>
      <w:divBdr>
        <w:top w:val="none" w:sz="0" w:space="0" w:color="auto"/>
        <w:left w:val="none" w:sz="0" w:space="0" w:color="auto"/>
        <w:bottom w:val="none" w:sz="0" w:space="0" w:color="auto"/>
        <w:right w:val="none" w:sz="0" w:space="0" w:color="auto"/>
      </w:divBdr>
    </w:div>
    <w:div w:id="1649898600">
      <w:bodyDiv w:val="1"/>
      <w:marLeft w:val="0"/>
      <w:marRight w:val="0"/>
      <w:marTop w:val="0"/>
      <w:marBottom w:val="0"/>
      <w:divBdr>
        <w:top w:val="none" w:sz="0" w:space="0" w:color="auto"/>
        <w:left w:val="none" w:sz="0" w:space="0" w:color="auto"/>
        <w:bottom w:val="none" w:sz="0" w:space="0" w:color="auto"/>
        <w:right w:val="none" w:sz="0" w:space="0" w:color="auto"/>
      </w:divBdr>
    </w:div>
    <w:div w:id="1745033367">
      <w:bodyDiv w:val="1"/>
      <w:marLeft w:val="0"/>
      <w:marRight w:val="0"/>
      <w:marTop w:val="0"/>
      <w:marBottom w:val="0"/>
      <w:divBdr>
        <w:top w:val="none" w:sz="0" w:space="0" w:color="auto"/>
        <w:left w:val="none" w:sz="0" w:space="0" w:color="auto"/>
        <w:bottom w:val="none" w:sz="0" w:space="0" w:color="auto"/>
        <w:right w:val="none" w:sz="0" w:space="0" w:color="auto"/>
      </w:divBdr>
    </w:div>
    <w:div w:id="1944453186">
      <w:bodyDiv w:val="1"/>
      <w:marLeft w:val="0"/>
      <w:marRight w:val="0"/>
      <w:marTop w:val="0"/>
      <w:marBottom w:val="0"/>
      <w:divBdr>
        <w:top w:val="none" w:sz="0" w:space="0" w:color="auto"/>
        <w:left w:val="none" w:sz="0" w:space="0" w:color="auto"/>
        <w:bottom w:val="none" w:sz="0" w:space="0" w:color="auto"/>
        <w:right w:val="none" w:sz="0" w:space="0" w:color="auto"/>
      </w:divBdr>
    </w:div>
    <w:div w:id="205214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939</Words>
  <Characters>5355</Characters>
  <Application>Microsoft Office Word</Application>
  <DocSecurity>0</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2021-05-11T08:11:00Z</dcterms:created>
  <dcterms:modified xsi:type="dcterms:W3CDTF">2022-01-20T09:51:00Z</dcterms:modified>
</cp:coreProperties>
</file>