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37E" w:rsidRDefault="00CC437E" w:rsidP="00CC437E">
      <w:pPr>
        <w:rPr>
          <w:rFonts w:ascii="Times New Roman" w:hAnsi="Times New Roman" w:cs="Times New Roman"/>
          <w:b/>
        </w:rPr>
      </w:pPr>
      <w:r>
        <w:rPr>
          <w:rFonts w:ascii="Times New Roman" w:hAnsi="Times New Roman" w:cs="Times New Roman"/>
          <w:b/>
        </w:rPr>
        <w:t xml:space="preserve">Discussion </w:t>
      </w:r>
    </w:p>
    <w:p w:rsidR="00856316" w:rsidRDefault="00856316" w:rsidP="008D5C2D">
      <w:pPr>
        <w:rPr>
          <w:rFonts w:ascii="Times New Roman" w:hAnsi="Times New Roman" w:cs="Times New Roman"/>
        </w:rPr>
      </w:pPr>
      <w:r>
        <w:rPr>
          <w:rFonts w:ascii="Times New Roman" w:hAnsi="Times New Roman" w:cs="Times New Roman"/>
        </w:rPr>
        <w:t xml:space="preserve">In this </w:t>
      </w:r>
      <w:r>
        <w:rPr>
          <w:rFonts w:ascii="Times New Roman" w:hAnsi="Times New Roman" w:cs="Times New Roman" w:hint="eastAsia"/>
        </w:rPr>
        <w:t>s</w:t>
      </w:r>
      <w:r>
        <w:rPr>
          <w:rFonts w:ascii="Times New Roman" w:hAnsi="Times New Roman" w:cs="Times New Roman"/>
        </w:rPr>
        <w:t>tudy</w:t>
      </w:r>
      <w:r w:rsidRPr="00856316">
        <w:rPr>
          <w:rFonts w:ascii="Times New Roman" w:hAnsi="Times New Roman" w:cs="Times New Roman"/>
        </w:rPr>
        <w:t xml:space="preserve">, the first quantitative analysis of carbon flows within food webs </w:t>
      </w:r>
      <w:r>
        <w:rPr>
          <w:rFonts w:ascii="Times New Roman" w:hAnsi="Times New Roman" w:cs="Times New Roman"/>
        </w:rPr>
        <w:t xml:space="preserve">of GPSC and the adjacent slope was presented. </w:t>
      </w:r>
      <w:r w:rsidR="00573139">
        <w:rPr>
          <w:rFonts w:ascii="Times New Roman" w:hAnsi="Times New Roman" w:cs="Times New Roman"/>
        </w:rPr>
        <w:t>T</w:t>
      </w:r>
      <w:r>
        <w:rPr>
          <w:rFonts w:ascii="Times New Roman" w:hAnsi="Times New Roman" w:cs="Times New Roman"/>
        </w:rPr>
        <w:t xml:space="preserve">he LIM model results provided </w:t>
      </w:r>
      <w:r>
        <w:rPr>
          <w:rFonts w:ascii="Times New Roman" w:hAnsi="Times New Roman" w:cs="Times New Roman" w:hint="eastAsia"/>
        </w:rPr>
        <w:t>a</w:t>
      </w:r>
      <w:r>
        <w:rPr>
          <w:rFonts w:ascii="Times New Roman" w:hAnsi="Times New Roman" w:cs="Times New Roman"/>
        </w:rPr>
        <w:t xml:space="preserve"> rare opportunity to study</w:t>
      </w:r>
      <w:r w:rsidR="00573139">
        <w:rPr>
          <w:rFonts w:ascii="Times New Roman" w:hAnsi="Times New Roman" w:cs="Times New Roman"/>
        </w:rPr>
        <w:t xml:space="preserve"> how the canyon affect food web structure </w:t>
      </w:r>
      <w:r w:rsidR="00573139">
        <w:rPr>
          <w:rFonts w:ascii="Times New Roman" w:hAnsi="Times New Roman" w:cs="Times New Roman" w:hint="eastAsia"/>
        </w:rPr>
        <w:t>i</w:t>
      </w:r>
      <w:r w:rsidR="00573139">
        <w:rPr>
          <w:rFonts w:ascii="Times New Roman" w:hAnsi="Times New Roman" w:cs="Times New Roman"/>
        </w:rPr>
        <w:t xml:space="preserve">n comparison with the slope habitat. Moreover, this </w:t>
      </w:r>
      <w:r w:rsidR="006854F2">
        <w:rPr>
          <w:rFonts w:ascii="Times New Roman" w:hAnsi="Times New Roman" w:cs="Times New Roman"/>
        </w:rPr>
        <w:t>offered an insight into</w:t>
      </w:r>
      <w:r w:rsidR="00573139">
        <w:rPr>
          <w:rFonts w:ascii="Times New Roman" w:hAnsi="Times New Roman" w:cs="Times New Roman"/>
        </w:rPr>
        <w:t xml:space="preserve"> the ecosystem functioning</w:t>
      </w:r>
      <w:r w:rsidR="006854F2">
        <w:rPr>
          <w:rFonts w:ascii="Times New Roman" w:hAnsi="Times New Roman" w:cs="Times New Roman"/>
        </w:rPr>
        <w:t xml:space="preserve"> in the canyon</w:t>
      </w:r>
      <w:r w:rsidR="00573139">
        <w:rPr>
          <w:rFonts w:ascii="Times New Roman" w:hAnsi="Times New Roman" w:cs="Times New Roman"/>
        </w:rPr>
        <w:t xml:space="preserve"> from the aspect of energy flows </w:t>
      </w:r>
      <w:r w:rsidR="006854F2">
        <w:rPr>
          <w:rFonts w:ascii="Times New Roman" w:hAnsi="Times New Roman" w:cs="Times New Roman" w:hint="eastAsia"/>
        </w:rPr>
        <w:t>a</w:t>
      </w:r>
      <w:r w:rsidR="006854F2">
        <w:rPr>
          <w:rFonts w:ascii="Times New Roman" w:hAnsi="Times New Roman" w:cs="Times New Roman"/>
        </w:rPr>
        <w:t xml:space="preserve">nd </w:t>
      </w:r>
      <w:r w:rsidR="00B82459">
        <w:rPr>
          <w:rFonts w:ascii="Times New Roman" w:hAnsi="Times New Roman" w:cs="Times New Roman"/>
        </w:rPr>
        <w:t xml:space="preserve">food web </w:t>
      </w:r>
      <w:r w:rsidR="006854F2">
        <w:rPr>
          <w:rFonts w:ascii="Times New Roman" w:hAnsi="Times New Roman" w:cs="Times New Roman"/>
        </w:rPr>
        <w:t>characteristics</w:t>
      </w:r>
      <w:r w:rsidRPr="00856316">
        <w:rPr>
          <w:rFonts w:ascii="Times New Roman" w:hAnsi="Times New Roman" w:cs="Times New Roman"/>
        </w:rPr>
        <w:t xml:space="preserve"> such as total system throughput, </w:t>
      </w:r>
      <w:r w:rsidR="008B5EE5">
        <w:rPr>
          <w:rFonts w:ascii="Times New Roman" w:hAnsi="Times New Roman" w:cs="Times New Roman" w:hint="eastAsia"/>
        </w:rPr>
        <w:t>e</w:t>
      </w:r>
      <w:r w:rsidR="008B5EE5">
        <w:rPr>
          <w:rFonts w:ascii="Times New Roman" w:hAnsi="Times New Roman" w:cs="Times New Roman"/>
        </w:rPr>
        <w:t xml:space="preserve">nergy </w:t>
      </w:r>
      <w:r w:rsidRPr="00856316">
        <w:rPr>
          <w:rFonts w:ascii="Times New Roman" w:hAnsi="Times New Roman" w:cs="Times New Roman"/>
        </w:rPr>
        <w:t>recycling and food web maturity.</w:t>
      </w:r>
    </w:p>
    <w:p w:rsidR="006854F2" w:rsidRDefault="006854F2" w:rsidP="008D5C2D">
      <w:pPr>
        <w:rPr>
          <w:rFonts w:ascii="Times New Roman" w:hAnsi="Times New Roman" w:cs="Times New Roman"/>
        </w:rPr>
      </w:pPr>
    </w:p>
    <w:p w:rsidR="00F06D0B" w:rsidRPr="00663D00" w:rsidRDefault="009A622F" w:rsidP="00004A6D">
      <w:pPr>
        <w:rPr>
          <w:rFonts w:ascii="Times New Roman" w:hAnsi="Times New Roman" w:cs="Times New Roman"/>
          <w:b/>
        </w:rPr>
      </w:pPr>
      <w:r w:rsidRPr="00663D00">
        <w:rPr>
          <w:rFonts w:ascii="Times New Roman" w:hAnsi="Times New Roman" w:cs="Times New Roman"/>
          <w:b/>
        </w:rPr>
        <w:t xml:space="preserve">Carbon stock </w:t>
      </w:r>
      <w:r w:rsidR="00663D00" w:rsidRPr="00663D00">
        <w:rPr>
          <w:rFonts w:ascii="Times New Roman" w:hAnsi="Times New Roman" w:cs="Times New Roman" w:hint="eastAsia"/>
          <w:b/>
        </w:rPr>
        <w:t>i</w:t>
      </w:r>
      <w:r w:rsidR="00663D00" w:rsidRPr="00663D00">
        <w:rPr>
          <w:rFonts w:ascii="Times New Roman" w:hAnsi="Times New Roman" w:cs="Times New Roman"/>
          <w:b/>
        </w:rPr>
        <w:t>n different compartments</w:t>
      </w:r>
    </w:p>
    <w:p w:rsidR="00E047C3" w:rsidRPr="00E047C3" w:rsidRDefault="00E047C3" w:rsidP="00E047C3">
      <w:pPr>
        <w:rPr>
          <w:rFonts w:ascii="Times New Roman" w:hAnsi="Times New Roman" w:cs="Times New Roman"/>
        </w:rPr>
      </w:pPr>
      <w:r w:rsidRPr="00E047C3">
        <w:rPr>
          <w:rFonts w:ascii="Times New Roman" w:hAnsi="Times New Roman" w:cs="Times New Roman"/>
        </w:rPr>
        <w:t xml:space="preserve">First of all, the stock data included in our models were appropriately calculated and converted with empirical formulas or conversion factors. </w:t>
      </w:r>
    </w:p>
    <w:p w:rsidR="00E047C3" w:rsidRPr="00E047C3" w:rsidRDefault="00E047C3" w:rsidP="00E047C3">
      <w:pPr>
        <w:rPr>
          <w:rFonts w:ascii="Times New Roman" w:hAnsi="Times New Roman" w:cs="Times New Roman"/>
        </w:rPr>
      </w:pPr>
      <w:r w:rsidRPr="00E047C3">
        <w:rPr>
          <w:rFonts w:ascii="Times New Roman" w:hAnsi="Times New Roman" w:cs="Times New Roman"/>
        </w:rPr>
        <w:t xml:space="preserve">For the abiotic detritus OC stock, the average TOC content in the upper 10 cm of the sediment was 0.39 % and 0.53% in GC1 and GS1, respectively. This value fits in the range of TOC content (c.a. 0.3-0.75 %) reported in previous studies in the southwestern area of Taiwan (Liu et al. 2006; Hsu et al., 2014). In addition, the quantity of converted detritus carbon stocks for the two habitats was of the same order of magnitude as that of the previously mentioned two submarine canyon studies (i.e. Rowe et al., 2008 and van Ovelen et al., 2011). That is, the detritus OC stock reported in Rowe et al. (2008) was 760,000 </w:t>
      </w:r>
      <w:r w:rsidR="0049503C">
        <w:rPr>
          <w:rFonts w:ascii="Times New Roman" w:hAnsi="Times New Roman" w:cs="Times New Roman"/>
          <w:kern w:val="0"/>
        </w:rPr>
        <w:t>mg C/ m</w:t>
      </w:r>
      <w:r w:rsidR="0049503C">
        <w:rPr>
          <w:rFonts w:ascii="Times New Roman" w:hAnsi="Times New Roman" w:cs="Times New Roman"/>
          <w:kern w:val="0"/>
          <w:vertAlign w:val="superscript"/>
        </w:rPr>
        <w:t>2</w:t>
      </w:r>
      <w:r w:rsidRPr="00E047C3">
        <w:rPr>
          <w:rFonts w:ascii="Times New Roman" w:hAnsi="Times New Roman" w:cs="Times New Roman"/>
        </w:rPr>
        <w:t xml:space="preserve">in the Mississippi canyon head, and it was about 858,789 </w:t>
      </w:r>
      <w:r w:rsidR="0049503C">
        <w:rPr>
          <w:rFonts w:ascii="Times New Roman" w:hAnsi="Times New Roman" w:cs="Times New Roman"/>
          <w:kern w:val="0"/>
        </w:rPr>
        <w:t>mg C/ m</w:t>
      </w:r>
      <w:r w:rsidR="0049503C">
        <w:rPr>
          <w:rFonts w:ascii="Times New Roman" w:hAnsi="Times New Roman" w:cs="Times New Roman"/>
          <w:kern w:val="0"/>
          <w:vertAlign w:val="superscript"/>
        </w:rPr>
        <w:t>2</w:t>
      </w:r>
      <w:r w:rsidR="0049503C">
        <w:rPr>
          <w:rFonts w:ascii="Times New Roman" w:hAnsi="Times New Roman" w:cs="Times New Roman"/>
          <w:kern w:val="0"/>
          <w:szCs w:val="24"/>
        </w:rPr>
        <w:t xml:space="preserve"> </w:t>
      </w:r>
      <w:r w:rsidRPr="00E047C3">
        <w:rPr>
          <w:rFonts w:ascii="Times New Roman" w:hAnsi="Times New Roman" w:cs="Times New Roman"/>
        </w:rPr>
        <w:t>after summing up all OC input and conversing the unit in the Nazar</w:t>
      </w:r>
      <w:r w:rsidR="00E96FB8" w:rsidRPr="00E96FB8">
        <w:rPr>
          <w:rFonts w:ascii="Times New Roman" w:hAnsi="Times New Roman" w:cs="Times New Roman"/>
        </w:rPr>
        <w:t>é</w:t>
      </w:r>
      <w:r w:rsidRPr="00E047C3">
        <w:rPr>
          <w:rFonts w:ascii="Times New Roman" w:hAnsi="Times New Roman" w:cs="Times New Roman"/>
        </w:rPr>
        <w:t xml:space="preserve"> canyon head (van Ovelen et al., 2011). Yet, the quantity of detritus OC in the Gaoping submarine canyon head (350,270 ± 104003.4</w:t>
      </w:r>
      <w:r w:rsidR="0049503C">
        <w:rPr>
          <w:rFonts w:ascii="Times New Roman" w:hAnsi="Times New Roman" w:cs="Times New Roman"/>
        </w:rPr>
        <w:t xml:space="preserve"> </w:t>
      </w:r>
      <w:r w:rsidR="0049503C">
        <w:rPr>
          <w:rFonts w:ascii="Times New Roman" w:hAnsi="Times New Roman" w:cs="Times New Roman"/>
          <w:kern w:val="0"/>
        </w:rPr>
        <w:t>mg C/ m</w:t>
      </w:r>
      <w:r w:rsidR="0049503C">
        <w:rPr>
          <w:rFonts w:ascii="Times New Roman" w:hAnsi="Times New Roman" w:cs="Times New Roman"/>
          <w:kern w:val="0"/>
          <w:vertAlign w:val="superscript"/>
        </w:rPr>
        <w:t>2</w:t>
      </w:r>
      <w:r w:rsidRPr="00E047C3">
        <w:rPr>
          <w:rFonts w:ascii="Times New Roman" w:hAnsi="Times New Roman" w:cs="Times New Roman"/>
        </w:rPr>
        <w:t xml:space="preserve">) is only half of the value in comparison with the two canyons. </w:t>
      </w:r>
    </w:p>
    <w:p w:rsidR="00E047C3" w:rsidRPr="00E047C3" w:rsidRDefault="00E047C3" w:rsidP="00E047C3">
      <w:pPr>
        <w:rPr>
          <w:rFonts w:ascii="Times New Roman" w:hAnsi="Times New Roman" w:cs="Times New Roman"/>
        </w:rPr>
      </w:pPr>
      <w:r w:rsidRPr="00E047C3">
        <w:rPr>
          <w:rFonts w:ascii="Times New Roman" w:hAnsi="Times New Roman" w:cs="Times New Roman"/>
        </w:rPr>
        <w:t xml:space="preserve">The bacteria samples among the biotic OC stock, however, were only collected in one cruise and 10 times replicate counts were conducted. It has been suggested that the bacteria biomass and production controlling factors in sediments are varied and are often site-specific (van Duyl and Kop, 1994), such as temperature, physical disturbance, sediment substrate, and composition (Yamamoto and Lopez 1985; Alongi, 1988). For instance, seasonal variation in bacterial population and biomass was reported in the shallow slope site in the Baltic Sea (Meyer-Reil, 1983) and several sites ranging from 40 to 1570 m depth in the Cretan Sea (Danovaro et al., 2000). The bacterial abundance and biomass are mainly influenced by the vertical patterns of the distribution of labile organic compounds (Danovaro et al., 2000), while the stock is also changed in response to the food supply. Due to the lack of repeated sampling, it is hard to distinguish the existence of seasonal variation in bacteria stock in GPSC. </w:t>
      </w:r>
    </w:p>
    <w:p w:rsidR="00433C44" w:rsidRDefault="00E047C3" w:rsidP="00E047C3">
      <w:pPr>
        <w:rPr>
          <w:rFonts w:ascii="Times New Roman" w:hAnsi="Times New Roman" w:cs="Times New Roman"/>
        </w:rPr>
      </w:pPr>
      <w:r w:rsidRPr="00E047C3">
        <w:rPr>
          <w:rFonts w:ascii="Times New Roman" w:hAnsi="Times New Roman" w:cs="Times New Roman"/>
        </w:rPr>
        <w:t xml:space="preserve">Given the impact of typhoons and the monsoon climate, rainfall is highly seasonal in the GPR basin (Liu et al., 2016). Distinct dry (winter) and wet (summer) seasons over </w:t>
      </w:r>
      <w:r w:rsidRPr="00E047C3">
        <w:rPr>
          <w:rFonts w:ascii="Times New Roman" w:hAnsi="Times New Roman" w:cs="Times New Roman"/>
        </w:rPr>
        <w:lastRenderedPageBreak/>
        <w:t>the annual cycle of precipitation are attributed to the monsoon climate. In addition, typhoons mostly occur in the summer and early fall, which bring excessive rainfall. Under this circumstance, steep topography, highly erodible drainage basin, and intense human activities lead to extremely high suspended-sediment load and fluvial discharges into the ocean every year (Huh et al., 2009; Liu et al., 2013; Liu et al., 2016). On the other hand, frequent earthquakes events also give rise to the development of turbidity currents (Hsu et al., 2008; Talling et al., 2013; Carter et al., 2014), such as the significant submarine landslides and gravity flows in the lower GPSC and the nearby Fangliao Submarine Canyon triggered by 2006 Pingtung earthquake (Hsu et al., 2008; Su et al., 2012). Therefore, whether the seasonal difference existing in each stock collected between different seasons or not is specially handled with care. Only the OC stock of meiofauna showed a significant difference between seasons, while the limitation of the small sample size of meiofauna was recognized. The unremarkable OC stock difference between seasons might be related to our sampling cruises, which were mostly in the relatively dry spring (March to April) and fall (October to November). Without a notable seasonal difference, each OC stock for all the size groups from respective sites w</w:t>
      </w:r>
      <w:r w:rsidR="0049503C">
        <w:rPr>
          <w:rFonts w:ascii="Times New Roman" w:hAnsi="Times New Roman" w:cs="Times New Roman"/>
        </w:rPr>
        <w:t>as merged from available data (Table 5</w:t>
      </w:r>
      <w:r w:rsidRPr="00E047C3">
        <w:rPr>
          <w:rFonts w:ascii="Times New Roman" w:hAnsi="Times New Roman" w:cs="Times New Roman"/>
        </w:rPr>
        <w:t>), and only the mean value was used in the LIM model.</w:t>
      </w:r>
    </w:p>
    <w:p w:rsidR="000C3F1F" w:rsidRPr="000C3F1F" w:rsidRDefault="000C3F1F" w:rsidP="00E047C3">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n the other hand, it had to be recognized that larger size group of benthic animals, such as megafauna and fish were not included in the food web model. Despite that </w:t>
      </w:r>
      <w:r>
        <w:rPr>
          <w:rFonts w:ascii="Times New Roman" w:hAnsi="Times New Roman" w:cs="Times New Roman" w:hint="eastAsia"/>
        </w:rPr>
        <w:t>t</w:t>
      </w:r>
      <w:r>
        <w:rPr>
          <w:rFonts w:ascii="Times New Roman" w:hAnsi="Times New Roman" w:cs="Times New Roman"/>
        </w:rPr>
        <w:t xml:space="preserve">he abundance and biomass of larger organisms are significantly lower and decrease rapidly in the deep sea (Rex et al., 2006), megafauna and fish are found with a great density in some study areas (e.g. Sibuet, 1977; </w:t>
      </w:r>
      <w:r>
        <w:rPr>
          <w:rFonts w:ascii="Times New Roman" w:hAnsi="Times New Roman" w:cs="Times New Roman" w:hint="eastAsia"/>
        </w:rPr>
        <w:t>He</w:t>
      </w:r>
      <w:r>
        <w:rPr>
          <w:rFonts w:ascii="Times New Roman" w:hAnsi="Times New Roman" w:cs="Times New Roman"/>
        </w:rPr>
        <w:t xml:space="preserve">cker, 1994; Fodrie et al., 2009). It has been reported that the high density of benthic invertebrates can control the redistribution and quality of OM in the marine sediments (Smallwood &amp; Wolff, 1999). </w:t>
      </w:r>
      <w:r>
        <w:rPr>
          <w:rFonts w:ascii="Times New Roman" w:hAnsi="Times New Roman" w:cs="Times New Roman" w:hint="eastAsia"/>
        </w:rPr>
        <w:t>Ov</w:t>
      </w:r>
      <w:r>
        <w:rPr>
          <w:rFonts w:ascii="Times New Roman" w:hAnsi="Times New Roman" w:cs="Times New Roman"/>
        </w:rPr>
        <w:t xml:space="preserve">erall, the role played by megafauna and fish in OM cycling in the communities of current study areas remains unclear. </w:t>
      </w:r>
    </w:p>
    <w:p w:rsidR="00E047C3" w:rsidRDefault="00E047C3" w:rsidP="00E047C3">
      <w:pPr>
        <w:rPr>
          <w:rFonts w:ascii="Times New Roman" w:hAnsi="Times New Roman" w:cs="Times New Roman"/>
          <w:highlight w:val="yellow"/>
        </w:rPr>
      </w:pPr>
    </w:p>
    <w:p w:rsidR="0031634B" w:rsidRPr="009471E3" w:rsidRDefault="003B1619" w:rsidP="0031634B">
      <w:pPr>
        <w:rPr>
          <w:rFonts w:ascii="Times New Roman" w:hAnsi="Times New Roman" w:cs="Times New Roman"/>
          <w:b/>
        </w:rPr>
      </w:pPr>
      <w:r w:rsidRPr="009471E3">
        <w:rPr>
          <w:rFonts w:ascii="Times New Roman" w:hAnsi="Times New Roman" w:cs="Times New Roman"/>
          <w:b/>
        </w:rPr>
        <w:t xml:space="preserve">Implemented </w:t>
      </w:r>
      <w:r w:rsidR="00FC6AE3" w:rsidRPr="009471E3">
        <w:rPr>
          <w:rFonts w:ascii="Times New Roman" w:hAnsi="Times New Roman" w:cs="Times New Roman"/>
          <w:b/>
        </w:rPr>
        <w:t>constraints</w:t>
      </w:r>
      <w:r w:rsidR="009471E3" w:rsidRPr="009471E3">
        <w:rPr>
          <w:rFonts w:ascii="Times New Roman" w:hAnsi="Times New Roman" w:cs="Times New Roman"/>
          <w:b/>
        </w:rPr>
        <w:t xml:space="preserve"> and model limitation</w:t>
      </w:r>
      <w:r w:rsidR="009471E3">
        <w:rPr>
          <w:rFonts w:ascii="Times New Roman" w:hAnsi="Times New Roman" w:cs="Times New Roman"/>
          <w:b/>
        </w:rPr>
        <w:t>s</w:t>
      </w:r>
    </w:p>
    <w:p w:rsidR="002A7BA3" w:rsidRDefault="002A7BA3" w:rsidP="00AC0B08">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 xml:space="preserve">xcept for the OC stocks, </w:t>
      </w:r>
      <w:r w:rsidR="00901BCE">
        <w:rPr>
          <w:rFonts w:ascii="Times New Roman" w:hAnsi="Times New Roman" w:cs="Times New Roman"/>
        </w:rPr>
        <w:t>the modelled food webs were</w:t>
      </w:r>
      <w:r w:rsidR="00901BCE" w:rsidRPr="00901BCE">
        <w:rPr>
          <w:rFonts w:ascii="Times New Roman" w:hAnsi="Times New Roman" w:cs="Times New Roman"/>
        </w:rPr>
        <w:t xml:space="preserve"> </w:t>
      </w:r>
      <w:r w:rsidR="00901BCE" w:rsidRPr="002A7BA3">
        <w:rPr>
          <w:rFonts w:ascii="Times New Roman" w:hAnsi="Times New Roman" w:cs="Times New Roman"/>
        </w:rPr>
        <w:t>combined with</w:t>
      </w:r>
      <w:r w:rsidR="00901BCE">
        <w:rPr>
          <w:rFonts w:ascii="Times New Roman" w:hAnsi="Times New Roman" w:cs="Times New Roman"/>
        </w:rPr>
        <w:t xml:space="preserve"> several</w:t>
      </w:r>
      <w:r w:rsidR="00901BCE" w:rsidRPr="002A7BA3">
        <w:rPr>
          <w:rFonts w:ascii="Times New Roman" w:hAnsi="Times New Roman" w:cs="Times New Roman"/>
        </w:rPr>
        <w:t xml:space="preserve"> physiological </w:t>
      </w:r>
      <w:r w:rsidR="00727CC3">
        <w:rPr>
          <w:rFonts w:ascii="Times New Roman" w:hAnsi="Times New Roman" w:cs="Times New Roman"/>
        </w:rPr>
        <w:t xml:space="preserve">and geochemical </w:t>
      </w:r>
      <w:r w:rsidR="00901BCE" w:rsidRPr="002A7BA3">
        <w:rPr>
          <w:rFonts w:ascii="Times New Roman" w:hAnsi="Times New Roman" w:cs="Times New Roman"/>
        </w:rPr>
        <w:t>constraints from the liter</w:t>
      </w:r>
      <w:r w:rsidR="00901BCE" w:rsidRPr="0049503C">
        <w:rPr>
          <w:rFonts w:ascii="Times New Roman" w:hAnsi="Times New Roman" w:cs="Times New Roman"/>
        </w:rPr>
        <w:t>ature</w:t>
      </w:r>
      <w:r w:rsidR="00E047C3" w:rsidRPr="0049503C">
        <w:rPr>
          <w:rFonts w:ascii="Times New Roman" w:hAnsi="Times New Roman" w:cs="Times New Roman"/>
        </w:rPr>
        <w:t xml:space="preserve"> </w:t>
      </w:r>
      <w:r w:rsidR="0049503C" w:rsidRPr="0049503C">
        <w:rPr>
          <w:rFonts w:ascii="Times New Roman" w:hAnsi="Times New Roman" w:cs="Times New Roman"/>
        </w:rPr>
        <w:t>(Table 2</w:t>
      </w:r>
      <w:r w:rsidR="00E047C3" w:rsidRPr="0049503C">
        <w:rPr>
          <w:rFonts w:ascii="Times New Roman" w:hAnsi="Times New Roman" w:cs="Times New Roman"/>
        </w:rPr>
        <w:t>)</w:t>
      </w:r>
      <w:r w:rsidR="00901BCE">
        <w:rPr>
          <w:rFonts w:ascii="Times New Roman" w:hAnsi="Times New Roman" w:cs="Times New Roman" w:hint="eastAsia"/>
        </w:rPr>
        <w:t>.</w:t>
      </w:r>
      <w:r w:rsidR="00901BCE">
        <w:rPr>
          <w:rFonts w:ascii="Times New Roman" w:hAnsi="Times New Roman" w:cs="Times New Roman"/>
        </w:rPr>
        <w:t xml:space="preserve"> </w:t>
      </w:r>
      <w:r w:rsidR="00727CC3">
        <w:rPr>
          <w:rFonts w:ascii="Times New Roman" w:hAnsi="Times New Roman" w:cs="Times New Roman"/>
        </w:rPr>
        <w:t>T</w:t>
      </w:r>
      <w:r w:rsidR="00727CC3" w:rsidRPr="00BF1A31">
        <w:rPr>
          <w:rFonts w:ascii="Times New Roman" w:hAnsi="Times New Roman" w:cs="Times New Roman"/>
        </w:rPr>
        <w:t xml:space="preserve">hese data were implemented as inequalities </w:t>
      </w:r>
      <w:r w:rsidR="00727CC3">
        <w:rPr>
          <w:rFonts w:ascii="Times New Roman" w:hAnsi="Times New Roman" w:cs="Times New Roman"/>
        </w:rPr>
        <w:t>through</w:t>
      </w:r>
      <w:r w:rsidR="00727CC3" w:rsidRPr="00BF1A31">
        <w:rPr>
          <w:rFonts w:ascii="Times New Roman" w:hAnsi="Times New Roman" w:cs="Times New Roman"/>
        </w:rPr>
        <w:t xml:space="preserve"> setting the minimum and maximum value as lower and upper bounds, respectively.</w:t>
      </w:r>
      <w:r w:rsidR="00727CC3">
        <w:rPr>
          <w:rFonts w:ascii="Times New Roman" w:hAnsi="Times New Roman" w:cs="Times New Roman" w:hint="eastAsia"/>
        </w:rPr>
        <w:t xml:space="preserve"> </w:t>
      </w:r>
      <w:r w:rsidR="00E047C3">
        <w:rPr>
          <w:rFonts w:ascii="Times New Roman" w:hAnsi="Times New Roman" w:cs="Times New Roman"/>
        </w:rPr>
        <w:t>Th</w:t>
      </w:r>
      <w:r w:rsidR="00DF109B">
        <w:rPr>
          <w:rFonts w:ascii="Times New Roman" w:hAnsi="Times New Roman" w:cs="Times New Roman"/>
        </w:rPr>
        <w:t xml:space="preserve">ese </w:t>
      </w:r>
      <w:r w:rsidR="00AC149C">
        <w:rPr>
          <w:rFonts w:ascii="Times New Roman" w:hAnsi="Times New Roman" w:cs="Times New Roman"/>
        </w:rPr>
        <w:t xml:space="preserve">constraints create </w:t>
      </w:r>
      <w:r w:rsidR="00AC149C">
        <w:rPr>
          <w:rFonts w:ascii="Times New Roman" w:hAnsi="Times New Roman" w:cs="Times New Roman" w:hint="eastAsia"/>
        </w:rPr>
        <w:t>t</w:t>
      </w:r>
      <w:r w:rsidR="00AC149C">
        <w:rPr>
          <w:rFonts w:ascii="Times New Roman" w:hAnsi="Times New Roman" w:cs="Times New Roman"/>
        </w:rPr>
        <w:t xml:space="preserve">he possible </w:t>
      </w:r>
      <w:r w:rsidR="00AC149C" w:rsidRPr="00AC149C">
        <w:rPr>
          <w:rFonts w:ascii="Times New Roman" w:hAnsi="Times New Roman" w:cs="Times New Roman"/>
        </w:rPr>
        <w:t>solution space</w:t>
      </w:r>
      <w:r w:rsidR="00AC149C">
        <w:rPr>
          <w:rFonts w:ascii="Times New Roman" w:hAnsi="Times New Roman" w:cs="Times New Roman"/>
        </w:rPr>
        <w:t xml:space="preserve"> for the algorithm to iterate </w:t>
      </w:r>
      <w:r w:rsidR="008F7F72">
        <w:rPr>
          <w:rFonts w:ascii="Times New Roman" w:hAnsi="Times New Roman" w:cs="Times New Roman"/>
        </w:rPr>
        <w:t xml:space="preserve">and find </w:t>
      </w:r>
      <w:r w:rsidR="00727CC3">
        <w:rPr>
          <w:rFonts w:ascii="Times New Roman" w:hAnsi="Times New Roman" w:cs="Times New Roman"/>
        </w:rPr>
        <w:t>a</w:t>
      </w:r>
      <w:r w:rsidR="00AC149C">
        <w:rPr>
          <w:rFonts w:ascii="Times New Roman" w:hAnsi="Times New Roman" w:cs="Times New Roman"/>
        </w:rPr>
        <w:t xml:space="preserve"> solution</w:t>
      </w:r>
      <w:r w:rsidR="008F7F72">
        <w:rPr>
          <w:rFonts w:ascii="Times New Roman" w:hAnsi="Times New Roman" w:cs="Times New Roman"/>
        </w:rPr>
        <w:t xml:space="preserve"> set</w:t>
      </w:r>
      <w:r w:rsidR="00AC149C">
        <w:rPr>
          <w:rFonts w:ascii="Times New Roman" w:hAnsi="Times New Roman" w:cs="Times New Roman"/>
        </w:rPr>
        <w:t xml:space="preserve"> of all flows. However, the input of these constraints creates </w:t>
      </w:r>
      <w:r w:rsidR="007C75DE">
        <w:rPr>
          <w:rFonts w:ascii="Times New Roman" w:hAnsi="Times New Roman" w:cs="Times New Roman"/>
        </w:rPr>
        <w:t>two level of uncertainty</w:t>
      </w:r>
      <w:r w:rsidR="00AC149C">
        <w:rPr>
          <w:rFonts w:ascii="Times New Roman" w:hAnsi="Times New Roman" w:cs="Times New Roman"/>
        </w:rPr>
        <w:t xml:space="preserve">. </w:t>
      </w:r>
    </w:p>
    <w:p w:rsidR="008570FB" w:rsidRDefault="008F7F72" w:rsidP="0022703C">
      <w:pPr>
        <w:rPr>
          <w:rFonts w:ascii="Times New Roman" w:hAnsi="Times New Roman" w:cs="Times New Roman"/>
        </w:rPr>
      </w:pPr>
      <w:r w:rsidRPr="008F7F72">
        <w:rPr>
          <w:rFonts w:ascii="Times New Roman" w:hAnsi="Times New Roman" w:cs="Times New Roman"/>
        </w:rPr>
        <w:t>Firstly</w:t>
      </w:r>
      <w:r>
        <w:rPr>
          <w:rFonts w:ascii="Times New Roman" w:hAnsi="Times New Roman" w:cs="Times New Roman"/>
        </w:rPr>
        <w:t xml:space="preserve">, the </w:t>
      </w:r>
      <w:r w:rsidRPr="002A7BA3">
        <w:rPr>
          <w:rFonts w:ascii="Times New Roman" w:hAnsi="Times New Roman" w:cs="Times New Roman"/>
        </w:rPr>
        <w:t>physiological constraints</w:t>
      </w:r>
      <w:r w:rsidR="00FB2E1F">
        <w:rPr>
          <w:rFonts w:ascii="Times New Roman" w:hAnsi="Times New Roman" w:cs="Times New Roman" w:hint="eastAsia"/>
        </w:rPr>
        <w:t xml:space="preserve"> </w:t>
      </w:r>
      <w:r w:rsidR="00FB2E1F">
        <w:rPr>
          <w:rFonts w:ascii="Times New Roman" w:hAnsi="Times New Roman" w:cs="Times New Roman"/>
        </w:rPr>
        <w:t>in our models</w:t>
      </w:r>
      <w:r w:rsidR="00F52A48">
        <w:rPr>
          <w:rFonts w:ascii="Times New Roman" w:hAnsi="Times New Roman" w:cs="Times New Roman"/>
        </w:rPr>
        <w:t xml:space="preserve"> were all come from the reference, including </w:t>
      </w:r>
      <w:r w:rsidR="00F52A48" w:rsidRPr="00F52A48">
        <w:rPr>
          <w:rFonts w:ascii="Times New Roman" w:hAnsi="Times New Roman" w:cs="Times New Roman"/>
          <w:i/>
        </w:rPr>
        <w:t>in situ</w:t>
      </w:r>
      <w:r w:rsidR="00F52A48">
        <w:rPr>
          <w:rFonts w:ascii="Times New Roman" w:hAnsi="Times New Roman" w:cs="Times New Roman"/>
        </w:rPr>
        <w:t xml:space="preserve"> and laboratory experiments</w:t>
      </w:r>
      <w:r w:rsidR="00B873B6">
        <w:rPr>
          <w:rFonts w:ascii="Times New Roman" w:hAnsi="Times New Roman" w:cs="Times New Roman"/>
        </w:rPr>
        <w:t>,</w:t>
      </w:r>
      <w:r w:rsidR="00B873B6">
        <w:rPr>
          <w:rFonts w:ascii="Times New Roman" w:hAnsi="Times New Roman" w:cs="Times New Roman" w:hint="eastAsia"/>
        </w:rPr>
        <w:t xml:space="preserve"> w</w:t>
      </w:r>
      <w:r w:rsidR="00B873B6">
        <w:rPr>
          <w:rFonts w:ascii="Times New Roman" w:hAnsi="Times New Roman" w:cs="Times New Roman"/>
        </w:rPr>
        <w:t>hich were</w:t>
      </w:r>
      <w:r w:rsidR="00CE5DE6">
        <w:rPr>
          <w:rFonts w:ascii="Times New Roman" w:hAnsi="Times New Roman" w:cs="Times New Roman"/>
        </w:rPr>
        <w:t xml:space="preserve"> considered low quality (van </w:t>
      </w:r>
      <w:r w:rsidR="00CE5DE6" w:rsidRPr="00CE5DE6">
        <w:rPr>
          <w:rFonts w:ascii="Times New Roman" w:hAnsi="Times New Roman" w:cs="Times New Roman"/>
        </w:rPr>
        <w:t>Oevelen</w:t>
      </w:r>
      <w:r w:rsidR="00CE5DE6">
        <w:rPr>
          <w:rFonts w:ascii="Times New Roman" w:hAnsi="Times New Roman" w:cs="Times New Roman" w:hint="eastAsia"/>
        </w:rPr>
        <w:t xml:space="preserve"> e</w:t>
      </w:r>
      <w:r w:rsidR="00CE5DE6">
        <w:rPr>
          <w:rFonts w:ascii="Times New Roman" w:hAnsi="Times New Roman" w:cs="Times New Roman"/>
        </w:rPr>
        <w:t>t al., 2010) due to the derivation from other food webs and even</w:t>
      </w:r>
      <w:r w:rsidR="00532E26">
        <w:rPr>
          <w:rFonts w:ascii="Times New Roman" w:hAnsi="Times New Roman" w:cs="Times New Roman"/>
        </w:rPr>
        <w:t xml:space="preserve"> different</w:t>
      </w:r>
      <w:r w:rsidR="00CE5DE6">
        <w:rPr>
          <w:rFonts w:ascii="Times New Roman" w:hAnsi="Times New Roman" w:cs="Times New Roman"/>
        </w:rPr>
        <w:t xml:space="preserve"> </w:t>
      </w:r>
      <w:r w:rsidR="00CE5DE6">
        <w:rPr>
          <w:rFonts w:ascii="Times New Roman" w:hAnsi="Times New Roman" w:cs="Times New Roman"/>
        </w:rPr>
        <w:lastRenderedPageBreak/>
        <w:t>study areas.</w:t>
      </w:r>
      <w:r w:rsidR="004A0306">
        <w:rPr>
          <w:rFonts w:ascii="Times New Roman" w:hAnsi="Times New Roman" w:cs="Times New Roman" w:hint="eastAsia"/>
        </w:rPr>
        <w:t xml:space="preserve"> </w:t>
      </w:r>
      <w:r w:rsidR="00B873B6" w:rsidRPr="00B873B6">
        <w:rPr>
          <w:rFonts w:ascii="Times New Roman" w:hAnsi="Times New Roman" w:cs="Times New Roman"/>
        </w:rPr>
        <w:t xml:space="preserve">Due to practical and technical difficulties in invertebrate physiological experiments, </w:t>
      </w:r>
      <w:r w:rsidR="00DD2C08">
        <w:rPr>
          <w:rFonts w:ascii="Times New Roman" w:hAnsi="Times New Roman" w:cs="Times New Roman" w:hint="eastAsia"/>
        </w:rPr>
        <w:t>t</w:t>
      </w:r>
      <w:r w:rsidR="00DD2C08">
        <w:rPr>
          <w:rFonts w:ascii="Times New Roman" w:hAnsi="Times New Roman" w:cs="Times New Roman"/>
        </w:rPr>
        <w:t xml:space="preserve">here is no </w:t>
      </w:r>
      <w:r w:rsidR="00815605">
        <w:rPr>
          <w:rFonts w:ascii="Times New Roman" w:hAnsi="Times New Roman" w:cs="Times New Roman"/>
        </w:rPr>
        <w:t xml:space="preserve">constraints of </w:t>
      </w:r>
      <w:r w:rsidR="00B873B6" w:rsidRPr="00B873B6">
        <w:rPr>
          <w:rFonts w:ascii="Times New Roman" w:hAnsi="Times New Roman" w:cs="Times New Roman"/>
        </w:rPr>
        <w:t>benthic species have been quantified</w:t>
      </w:r>
      <w:r w:rsidR="00F81CB4">
        <w:rPr>
          <w:rFonts w:ascii="Times New Roman" w:hAnsi="Times New Roman" w:cs="Times New Roman"/>
        </w:rPr>
        <w:t xml:space="preserve"> in our study</w:t>
      </w:r>
      <w:r w:rsidR="00F81CB4">
        <w:rPr>
          <w:rFonts w:ascii="Times New Roman" w:hAnsi="Times New Roman" w:cs="Times New Roman" w:hint="eastAsia"/>
        </w:rPr>
        <w:t xml:space="preserve"> s</w:t>
      </w:r>
      <w:r w:rsidR="00F81CB4">
        <w:rPr>
          <w:rFonts w:ascii="Times New Roman" w:hAnsi="Times New Roman" w:cs="Times New Roman"/>
        </w:rPr>
        <w:t>ites</w:t>
      </w:r>
      <w:r w:rsidR="00B873B6" w:rsidRPr="00B873B6">
        <w:rPr>
          <w:rFonts w:ascii="Times New Roman" w:hAnsi="Times New Roman" w:cs="Times New Roman"/>
        </w:rPr>
        <w:t>.</w:t>
      </w:r>
      <w:r w:rsidR="00DD2C08">
        <w:rPr>
          <w:rFonts w:ascii="Times New Roman" w:hAnsi="Times New Roman" w:cs="Times New Roman"/>
        </w:rPr>
        <w:t xml:space="preserve"> </w:t>
      </w:r>
      <w:r w:rsidR="00DD2C08">
        <w:rPr>
          <w:rFonts w:ascii="Times New Roman" w:hAnsi="Times New Roman" w:cs="Times New Roman" w:hint="eastAsia"/>
        </w:rPr>
        <w:t>D</w:t>
      </w:r>
      <w:r w:rsidR="00DD2C08">
        <w:rPr>
          <w:rFonts w:ascii="Times New Roman" w:hAnsi="Times New Roman" w:cs="Times New Roman"/>
        </w:rPr>
        <w:t>espite of the lack of site-specific physiological constraints, we used the reference constraints</w:t>
      </w:r>
      <w:r w:rsidR="00DD2C08">
        <w:rPr>
          <w:rFonts w:ascii="Times New Roman" w:hAnsi="Times New Roman" w:cs="Times New Roman" w:hint="eastAsia"/>
        </w:rPr>
        <w:t xml:space="preserve"> a</w:t>
      </w:r>
      <w:r w:rsidR="00DD2C08">
        <w:rPr>
          <w:rFonts w:ascii="Times New Roman" w:hAnsi="Times New Roman" w:cs="Times New Roman"/>
        </w:rPr>
        <w:t xml:space="preserve">s other LIM studies did. </w:t>
      </w:r>
      <w:r w:rsidR="001E51C4">
        <w:rPr>
          <w:rFonts w:ascii="Times New Roman" w:hAnsi="Times New Roman" w:cs="Times New Roman"/>
        </w:rPr>
        <w:t xml:space="preserve">For example, </w:t>
      </w:r>
      <w:r w:rsidR="007B5D05">
        <w:rPr>
          <w:rFonts w:ascii="Times New Roman" w:hAnsi="Times New Roman" w:cs="Times New Roman" w:hint="eastAsia"/>
        </w:rPr>
        <w:t>St</w:t>
      </w:r>
      <w:r w:rsidR="007B5D05">
        <w:rPr>
          <w:rFonts w:ascii="Times New Roman" w:hAnsi="Times New Roman" w:cs="Times New Roman"/>
        </w:rPr>
        <w:t xml:space="preserve">ratmann et al. (2018) studied the </w:t>
      </w:r>
      <w:r w:rsidR="007B5D05" w:rsidRPr="007B5D05">
        <w:rPr>
          <w:rFonts w:ascii="Times New Roman" w:hAnsi="Times New Roman" w:cs="Times New Roman"/>
        </w:rPr>
        <w:t>abyssal plain food web of the Peru Basin</w:t>
      </w:r>
      <w:r w:rsidR="007B5D05">
        <w:rPr>
          <w:rFonts w:ascii="Times New Roman" w:hAnsi="Times New Roman" w:cs="Times New Roman" w:hint="eastAsia"/>
        </w:rPr>
        <w:t>,</w:t>
      </w:r>
      <w:r w:rsidR="007B5D05" w:rsidRPr="007B5D05">
        <w:rPr>
          <w:rFonts w:ascii="Times New Roman" w:hAnsi="Times New Roman" w:cs="Times New Roman"/>
        </w:rPr>
        <w:t xml:space="preserve"> </w:t>
      </w:r>
      <w:r w:rsidR="007B5D05">
        <w:rPr>
          <w:rFonts w:ascii="Times New Roman" w:hAnsi="Times New Roman" w:cs="Times New Roman" w:hint="eastAsia"/>
        </w:rPr>
        <w:t>a</w:t>
      </w:r>
      <w:r w:rsidR="007B5D05">
        <w:rPr>
          <w:rFonts w:ascii="Times New Roman" w:hAnsi="Times New Roman" w:cs="Times New Roman"/>
        </w:rPr>
        <w:t>nd some physiological constraints of benthos which they imposed on the food webs were derived from the studies which focused on shallow-water or intertidal</w:t>
      </w:r>
      <w:r w:rsidR="007B5D05">
        <w:rPr>
          <w:rFonts w:ascii="Times New Roman" w:hAnsi="Times New Roman" w:cs="Times New Roman" w:hint="eastAsia"/>
        </w:rPr>
        <w:t xml:space="preserve"> s</w:t>
      </w:r>
      <w:r w:rsidR="007B5D05">
        <w:rPr>
          <w:rFonts w:ascii="Times New Roman" w:hAnsi="Times New Roman" w:cs="Times New Roman"/>
        </w:rPr>
        <w:t>pecies</w:t>
      </w:r>
      <w:r w:rsidR="00BB7BA4">
        <w:rPr>
          <w:rFonts w:ascii="Times New Roman" w:hAnsi="Times New Roman" w:cs="Times New Roman"/>
        </w:rPr>
        <w:t xml:space="preserve"> (e.g. Drazen et al</w:t>
      </w:r>
      <w:r w:rsidR="007B5D05">
        <w:rPr>
          <w:rFonts w:ascii="Times New Roman" w:hAnsi="Times New Roman" w:cs="Times New Roman"/>
        </w:rPr>
        <w:t>.</w:t>
      </w:r>
      <w:r w:rsidR="00BB7BA4">
        <w:rPr>
          <w:rFonts w:ascii="Times New Roman" w:hAnsi="Times New Roman" w:cs="Times New Roman"/>
        </w:rPr>
        <w:t xml:space="preserve">, 2007; </w:t>
      </w:r>
      <w:r w:rsidR="00BB7BA4" w:rsidRPr="00BB7BA4">
        <w:rPr>
          <w:rFonts w:ascii="Times New Roman" w:hAnsi="Times New Roman" w:cs="Times New Roman"/>
        </w:rPr>
        <w:t>Koopmans et al., 2010</w:t>
      </w:r>
      <w:r w:rsidR="00BB7BA4">
        <w:rPr>
          <w:rFonts w:ascii="Times New Roman" w:hAnsi="Times New Roman" w:cs="Times New Roman"/>
        </w:rPr>
        <w:t xml:space="preserve">). </w:t>
      </w:r>
      <w:r w:rsidR="00851C0C">
        <w:rPr>
          <w:rFonts w:ascii="Times New Roman" w:hAnsi="Times New Roman" w:cs="Times New Roman"/>
        </w:rPr>
        <w:t>In some other food web studies, the physiological constraint of</w:t>
      </w:r>
      <w:r w:rsidR="00286228">
        <w:rPr>
          <w:rFonts w:ascii="Times New Roman" w:hAnsi="Times New Roman" w:cs="Times New Roman"/>
        </w:rPr>
        <w:t xml:space="preserve"> </w:t>
      </w:r>
      <w:r w:rsidR="00B07BEE">
        <w:rPr>
          <w:rFonts w:ascii="Times New Roman" w:hAnsi="Times New Roman" w:cs="Times New Roman"/>
        </w:rPr>
        <w:t>th</w:t>
      </w:r>
      <w:r w:rsidR="00286228">
        <w:rPr>
          <w:rFonts w:ascii="Times New Roman" w:hAnsi="Times New Roman" w:cs="Times New Roman"/>
        </w:rPr>
        <w:t xml:space="preserve">e dominated species </w:t>
      </w:r>
      <w:r w:rsidR="00B07BEE">
        <w:rPr>
          <w:rFonts w:ascii="Times New Roman" w:hAnsi="Times New Roman" w:cs="Times New Roman"/>
        </w:rPr>
        <w:t xml:space="preserve">would be chosen as </w:t>
      </w:r>
      <w:r w:rsidR="00BD6F67">
        <w:rPr>
          <w:rFonts w:ascii="Times New Roman" w:hAnsi="Times New Roman" w:cs="Times New Roman"/>
        </w:rPr>
        <w:t xml:space="preserve">the </w:t>
      </w:r>
      <w:r w:rsidR="00B07BEE">
        <w:rPr>
          <w:rFonts w:ascii="Times New Roman" w:hAnsi="Times New Roman" w:cs="Times New Roman"/>
        </w:rPr>
        <w:t>representative for th</w:t>
      </w:r>
      <w:r w:rsidR="00BD6F67">
        <w:rPr>
          <w:rFonts w:ascii="Times New Roman" w:hAnsi="Times New Roman" w:cs="Times New Roman"/>
        </w:rPr>
        <w:t>at</w:t>
      </w:r>
      <w:r w:rsidR="00B07BEE">
        <w:rPr>
          <w:rFonts w:ascii="Times New Roman" w:hAnsi="Times New Roman" w:cs="Times New Roman"/>
        </w:rPr>
        <w:t xml:space="preserve"> size group</w:t>
      </w:r>
      <w:r w:rsidR="009A622F">
        <w:rPr>
          <w:rFonts w:ascii="Times New Roman" w:hAnsi="Times New Roman" w:cs="Times New Roman"/>
        </w:rPr>
        <w:t xml:space="preserve"> or be separated from the size group as an independent compartment (e.g. </w:t>
      </w:r>
      <w:r w:rsidR="009A622F" w:rsidRPr="00795E65">
        <w:rPr>
          <w:rFonts w:ascii="Times New Roman" w:hAnsi="Times New Roman" w:cs="Times New Roman"/>
        </w:rPr>
        <w:t>De Smet</w:t>
      </w:r>
      <w:r w:rsidR="009A622F">
        <w:rPr>
          <w:rFonts w:ascii="Times New Roman" w:hAnsi="Times New Roman" w:cs="Times New Roman"/>
        </w:rPr>
        <w:t xml:space="preserve"> et al., 2016)</w:t>
      </w:r>
      <w:r w:rsidR="00B07BEE">
        <w:rPr>
          <w:rFonts w:ascii="Times New Roman" w:hAnsi="Times New Roman" w:cs="Times New Roman"/>
        </w:rPr>
        <w:t xml:space="preserve">. </w:t>
      </w:r>
      <w:r w:rsidR="00BD6F67">
        <w:rPr>
          <w:rFonts w:ascii="Times New Roman" w:hAnsi="Times New Roman" w:cs="Times New Roman"/>
        </w:rPr>
        <w:t xml:space="preserve">Though these </w:t>
      </w:r>
      <w:r w:rsidR="00210CBF">
        <w:rPr>
          <w:rFonts w:ascii="Times New Roman" w:hAnsi="Times New Roman" w:cs="Times New Roman"/>
        </w:rPr>
        <w:t>low</w:t>
      </w:r>
      <w:r w:rsidR="00210CBF">
        <w:rPr>
          <w:rFonts w:ascii="Times New Roman" w:hAnsi="Times New Roman" w:cs="Times New Roman" w:hint="eastAsia"/>
        </w:rPr>
        <w:t>-</w:t>
      </w:r>
      <w:r w:rsidR="00210CBF">
        <w:rPr>
          <w:rFonts w:ascii="Times New Roman" w:hAnsi="Times New Roman" w:cs="Times New Roman"/>
        </w:rPr>
        <w:t>quality</w:t>
      </w:r>
      <w:r w:rsidR="00210CBF">
        <w:rPr>
          <w:rFonts w:ascii="Times New Roman" w:hAnsi="Times New Roman" w:cs="Times New Roman" w:hint="eastAsia"/>
        </w:rPr>
        <w:t xml:space="preserve"> </w:t>
      </w:r>
      <w:r w:rsidR="00210CBF">
        <w:rPr>
          <w:rFonts w:ascii="Times New Roman" w:hAnsi="Times New Roman" w:cs="Times New Roman"/>
        </w:rPr>
        <w:t>constraints bring some uncertainty in our model results,</w:t>
      </w:r>
      <w:r w:rsidR="00057733">
        <w:rPr>
          <w:rFonts w:ascii="Times New Roman" w:hAnsi="Times New Roman" w:cs="Times New Roman"/>
        </w:rPr>
        <w:t xml:space="preserve"> </w:t>
      </w:r>
      <w:r w:rsidR="00EF6777">
        <w:rPr>
          <w:rFonts w:ascii="Times New Roman" w:hAnsi="Times New Roman" w:cs="Times New Roman"/>
        </w:rPr>
        <w:t xml:space="preserve">the solution of flows </w:t>
      </w:r>
      <w:r w:rsidR="00451C85">
        <w:rPr>
          <w:rFonts w:ascii="Times New Roman" w:hAnsi="Times New Roman" w:cs="Times New Roman" w:hint="eastAsia"/>
        </w:rPr>
        <w:t>w</w:t>
      </w:r>
      <w:r w:rsidR="00451C85">
        <w:rPr>
          <w:rFonts w:ascii="Times New Roman" w:hAnsi="Times New Roman" w:cs="Times New Roman"/>
        </w:rPr>
        <w:t>ere still more convinced than that without any constraint, such as</w:t>
      </w:r>
      <w:r w:rsidR="00451C85" w:rsidRPr="00451C85">
        <w:rPr>
          <w:rFonts w:ascii="Times New Roman" w:hAnsi="Times New Roman" w:cs="Times New Roman"/>
        </w:rPr>
        <w:t xml:space="preserve"> </w:t>
      </w:r>
      <w:r w:rsidR="00451C85">
        <w:rPr>
          <w:rFonts w:ascii="Times New Roman" w:hAnsi="Times New Roman" w:cs="Times New Roman"/>
        </w:rPr>
        <w:t>the external flow</w:t>
      </w:r>
      <w:r w:rsidR="00451C85">
        <w:rPr>
          <w:rFonts w:ascii="Times New Roman" w:hAnsi="Times New Roman" w:cs="Times New Roman" w:hint="eastAsia"/>
        </w:rPr>
        <w:t xml:space="preserve"> o</w:t>
      </w:r>
      <w:r w:rsidR="00451C85">
        <w:rPr>
          <w:rFonts w:ascii="Times New Roman" w:hAnsi="Times New Roman" w:cs="Times New Roman"/>
        </w:rPr>
        <w:t>f the predated meiofauna and macrofauna (MEI</w:t>
      </w:r>
      <w:r w:rsidR="00451C85">
        <w:rPr>
          <w:rFonts w:ascii="Times New Roman" w:hAnsi="Times New Roman" w:cs="Times New Roman" w:hint="eastAsia"/>
        </w:rPr>
        <w:t>→</w:t>
      </w:r>
      <w:r w:rsidR="00451C85">
        <w:rPr>
          <w:rFonts w:ascii="Times New Roman" w:hAnsi="Times New Roman" w:cs="Times New Roman" w:hint="eastAsia"/>
        </w:rPr>
        <w:t>E</w:t>
      </w:r>
      <w:r w:rsidR="00451C85">
        <w:rPr>
          <w:rFonts w:ascii="Times New Roman" w:hAnsi="Times New Roman" w:cs="Times New Roman"/>
        </w:rPr>
        <w:t>XP_B and MAC</w:t>
      </w:r>
      <w:r w:rsidR="00451C85">
        <w:rPr>
          <w:rFonts w:ascii="Times New Roman" w:hAnsi="Times New Roman" w:cs="Times New Roman" w:hint="eastAsia"/>
        </w:rPr>
        <w:t>→</w:t>
      </w:r>
      <w:r w:rsidR="00451C85">
        <w:rPr>
          <w:rFonts w:ascii="Times New Roman" w:hAnsi="Times New Roman" w:cs="Times New Roman" w:hint="eastAsia"/>
        </w:rPr>
        <w:t>E</w:t>
      </w:r>
      <w:r w:rsidR="0013359A">
        <w:rPr>
          <w:rFonts w:ascii="Times New Roman" w:hAnsi="Times New Roman" w:cs="Times New Roman"/>
        </w:rPr>
        <w:t>XP_B in F</w:t>
      </w:r>
      <w:r w:rsidR="00451C85">
        <w:rPr>
          <w:rFonts w:ascii="Times New Roman" w:hAnsi="Times New Roman" w:cs="Times New Roman"/>
        </w:rPr>
        <w:t>ig.</w:t>
      </w:r>
      <w:r w:rsidR="0013359A">
        <w:rPr>
          <w:rFonts w:ascii="Times New Roman" w:hAnsi="Times New Roman" w:cs="Times New Roman"/>
        </w:rPr>
        <w:t xml:space="preserve"> 2</w:t>
      </w:r>
      <w:r w:rsidR="00451C85">
        <w:rPr>
          <w:rFonts w:ascii="Times New Roman" w:hAnsi="Times New Roman" w:cs="Times New Roman"/>
        </w:rPr>
        <w:t xml:space="preserve">), which were left to be solve by the model with the only assumption of mass balance for the stock. </w:t>
      </w:r>
    </w:p>
    <w:p w:rsidR="00B40992" w:rsidRDefault="00252345" w:rsidP="008570FB">
      <w:pPr>
        <w:rPr>
          <w:rFonts w:ascii="Times New Roman" w:hAnsi="Times New Roman" w:cs="Times New Roman"/>
        </w:rPr>
      </w:pPr>
      <w:r>
        <w:rPr>
          <w:rFonts w:ascii="Times New Roman" w:hAnsi="Times New Roman" w:cs="Times New Roman" w:hint="eastAsia"/>
        </w:rPr>
        <w:t>On</w:t>
      </w:r>
      <w:r>
        <w:rPr>
          <w:rFonts w:ascii="Times New Roman" w:hAnsi="Times New Roman" w:cs="Times New Roman"/>
        </w:rPr>
        <w:t xml:space="preserve"> the other hand, the </w:t>
      </w:r>
      <w:r w:rsidR="00FB2E1F">
        <w:rPr>
          <w:rFonts w:ascii="Times New Roman" w:hAnsi="Times New Roman" w:cs="Times New Roman"/>
        </w:rPr>
        <w:t xml:space="preserve">geochemical </w:t>
      </w:r>
      <w:r>
        <w:rPr>
          <w:rFonts w:ascii="Times New Roman" w:hAnsi="Times New Roman" w:cs="Times New Roman"/>
        </w:rPr>
        <w:t>constraints</w:t>
      </w:r>
      <w:r w:rsidR="00FB2E1F">
        <w:rPr>
          <w:rFonts w:ascii="Times New Roman" w:hAnsi="Times New Roman" w:cs="Times New Roman"/>
        </w:rPr>
        <w:t xml:space="preserve"> imposed on our models are site-specific, which</w:t>
      </w:r>
      <w:r>
        <w:rPr>
          <w:rFonts w:ascii="Times New Roman" w:hAnsi="Times New Roman" w:cs="Times New Roman"/>
        </w:rPr>
        <w:t xml:space="preserve"> are considered</w:t>
      </w:r>
      <w:r w:rsidR="00FB2E1F">
        <w:rPr>
          <w:rFonts w:ascii="Times New Roman" w:hAnsi="Times New Roman" w:cs="Times New Roman"/>
        </w:rPr>
        <w:t xml:space="preserve"> </w:t>
      </w:r>
      <w:r>
        <w:rPr>
          <w:rFonts w:ascii="Times New Roman" w:hAnsi="Times New Roman" w:cs="Times New Roman"/>
        </w:rPr>
        <w:t xml:space="preserve">high quality (van </w:t>
      </w:r>
      <w:r w:rsidRPr="00CE5DE6">
        <w:rPr>
          <w:rFonts w:ascii="Times New Roman" w:hAnsi="Times New Roman" w:cs="Times New Roman"/>
        </w:rPr>
        <w:t>Oevelen</w:t>
      </w:r>
      <w:r>
        <w:rPr>
          <w:rFonts w:ascii="Times New Roman" w:hAnsi="Times New Roman" w:cs="Times New Roman" w:hint="eastAsia"/>
        </w:rPr>
        <w:t xml:space="preserve"> e</w:t>
      </w:r>
      <w:r>
        <w:rPr>
          <w:rFonts w:ascii="Times New Roman" w:hAnsi="Times New Roman" w:cs="Times New Roman"/>
        </w:rPr>
        <w:t>t al., 2010)</w:t>
      </w:r>
      <w:r w:rsidR="00FB2E1F">
        <w:rPr>
          <w:rFonts w:ascii="Times New Roman" w:hAnsi="Times New Roman" w:cs="Times New Roman" w:hint="eastAsia"/>
        </w:rPr>
        <w:t>.</w:t>
      </w:r>
      <w:r w:rsidR="00FB2E1F">
        <w:rPr>
          <w:rFonts w:ascii="Times New Roman" w:hAnsi="Times New Roman" w:cs="Times New Roman"/>
        </w:rPr>
        <w:t xml:space="preserve"> </w:t>
      </w:r>
      <w:r w:rsidR="00893A74">
        <w:rPr>
          <w:rFonts w:ascii="Times New Roman" w:hAnsi="Times New Roman" w:cs="Times New Roman"/>
        </w:rPr>
        <w:t xml:space="preserve">Although the sedimentation rates </w:t>
      </w:r>
      <w:r w:rsidR="00893A74">
        <w:rPr>
          <w:rFonts w:ascii="Times New Roman" w:hAnsi="Times New Roman" w:cs="Times New Roman" w:hint="eastAsia"/>
        </w:rPr>
        <w:t>a</w:t>
      </w:r>
      <w:r w:rsidR="00893A74">
        <w:rPr>
          <w:rFonts w:ascii="Times New Roman" w:hAnsi="Times New Roman" w:cs="Times New Roman"/>
        </w:rPr>
        <w:t>nd sediment burial efficiency were</w:t>
      </w:r>
      <w:r w:rsidR="00893A74">
        <w:rPr>
          <w:rFonts w:ascii="Times New Roman" w:hAnsi="Times New Roman" w:cs="Times New Roman" w:hint="eastAsia"/>
        </w:rPr>
        <w:t xml:space="preserve"> n</w:t>
      </w:r>
      <w:r w:rsidR="00893A74">
        <w:rPr>
          <w:rFonts w:ascii="Times New Roman" w:hAnsi="Times New Roman" w:cs="Times New Roman"/>
        </w:rPr>
        <w:t>ot directly estimated in GC1 and GS1, these value</w:t>
      </w:r>
      <w:r w:rsidR="008C2D3A">
        <w:rPr>
          <w:rFonts w:ascii="Times New Roman" w:hAnsi="Times New Roman" w:cs="Times New Roman"/>
        </w:rPr>
        <w:t xml:space="preserve"> extracted from GPSC studies (i.e. Huh et al. 2009 and Hsu et al. 2014)</w:t>
      </w:r>
      <w:r w:rsidR="008A457F">
        <w:rPr>
          <w:rFonts w:ascii="Times New Roman" w:hAnsi="Times New Roman" w:cs="Times New Roman"/>
        </w:rPr>
        <w:t xml:space="preserve"> </w:t>
      </w:r>
      <w:r w:rsidR="00421DED">
        <w:rPr>
          <w:rFonts w:ascii="Times New Roman" w:hAnsi="Times New Roman" w:cs="Times New Roman"/>
        </w:rPr>
        <w:t xml:space="preserve">were relatively reliable </w:t>
      </w:r>
      <w:r w:rsidR="00CA536B">
        <w:rPr>
          <w:rFonts w:ascii="Times New Roman" w:hAnsi="Times New Roman" w:cs="Times New Roman"/>
        </w:rPr>
        <w:t xml:space="preserve">than </w:t>
      </w:r>
      <w:r w:rsidR="00D0016E">
        <w:rPr>
          <w:rFonts w:ascii="Times New Roman" w:hAnsi="Times New Roman" w:cs="Times New Roman"/>
        </w:rPr>
        <w:t>general accepted values.</w:t>
      </w:r>
    </w:p>
    <w:p w:rsidR="000A51D0" w:rsidRDefault="000A51D0" w:rsidP="003013DE">
      <w:pPr>
        <w:rPr>
          <w:rFonts w:ascii="Times New Roman" w:hAnsi="Times New Roman" w:cs="Times New Roman"/>
        </w:rPr>
      </w:pPr>
    </w:p>
    <w:p w:rsidR="003013DE" w:rsidRPr="003013DE" w:rsidRDefault="003013DE" w:rsidP="003013DE">
      <w:pPr>
        <w:rPr>
          <w:rFonts w:ascii="Times New Roman" w:hAnsi="Times New Roman" w:cs="Times New Roman"/>
        </w:rPr>
      </w:pPr>
      <w:r w:rsidRPr="003013DE">
        <w:rPr>
          <w:rFonts w:ascii="Times New Roman" w:hAnsi="Times New Roman" w:cs="Times New Roman"/>
        </w:rPr>
        <w:t xml:space="preserve">Although the direct measured DOU was not used as model input, DOU flow was set to 30% of the </w:t>
      </w:r>
      <w:r w:rsidR="00DC7CC2" w:rsidRPr="00F52A48">
        <w:rPr>
          <w:rFonts w:ascii="Times New Roman" w:hAnsi="Times New Roman" w:cs="Times New Roman"/>
          <w:i/>
        </w:rPr>
        <w:t>in situ</w:t>
      </w:r>
      <w:r w:rsidRPr="003013DE">
        <w:rPr>
          <w:rFonts w:ascii="Times New Roman" w:hAnsi="Times New Roman" w:cs="Times New Roman"/>
        </w:rPr>
        <w:t xml:space="preserve"> TOU as the maximum of the DOU constraint. Surprisingly, the results of the DOU flow increased the level of confidence in the model. In GC1, the measured DOU was 19.81</w:t>
      </w:r>
      <w:r w:rsidR="0049503C">
        <w:rPr>
          <w:rFonts w:ascii="Times New Roman" w:hAnsi="Times New Roman" w:cs="Times New Roman"/>
        </w:rPr>
        <w:t xml:space="preserve"> </w:t>
      </w:r>
      <w:r w:rsidR="0049503C">
        <w:rPr>
          <w:rFonts w:ascii="Times New Roman" w:hAnsi="Times New Roman" w:cs="Times New Roman"/>
          <w:kern w:val="0"/>
        </w:rPr>
        <w:t>mg C/ m</w:t>
      </w:r>
      <w:r w:rsidR="0049503C">
        <w:rPr>
          <w:rFonts w:ascii="Times New Roman" w:hAnsi="Times New Roman" w:cs="Times New Roman"/>
          <w:kern w:val="0"/>
          <w:vertAlign w:val="superscript"/>
        </w:rPr>
        <w:t>2</w:t>
      </w:r>
      <w:r w:rsidR="0049503C">
        <w:rPr>
          <w:rFonts w:ascii="Times New Roman" w:hAnsi="Times New Roman" w:cs="Times New Roman"/>
          <w:kern w:val="0"/>
          <w:szCs w:val="24"/>
        </w:rPr>
        <w:t>/ d</w:t>
      </w:r>
      <w:r w:rsidRPr="003013DE">
        <w:rPr>
          <w:rFonts w:ascii="Times New Roman" w:hAnsi="Times New Roman" w:cs="Times New Roman"/>
        </w:rPr>
        <w:t>, which was slightly higher than that resulted from LIM (15.13</w:t>
      </w:r>
      <w:r w:rsidR="0049503C">
        <w:rPr>
          <w:rFonts w:ascii="Times New Roman" w:hAnsi="Times New Roman" w:cs="Times New Roman"/>
        </w:rPr>
        <w:t xml:space="preserve"> </w:t>
      </w:r>
      <w:r w:rsidR="0049503C">
        <w:rPr>
          <w:rFonts w:ascii="Times New Roman" w:hAnsi="Times New Roman" w:cs="Times New Roman"/>
          <w:kern w:val="0"/>
        </w:rPr>
        <w:t>mg C/ m</w:t>
      </w:r>
      <w:r w:rsidR="0049503C">
        <w:rPr>
          <w:rFonts w:ascii="Times New Roman" w:hAnsi="Times New Roman" w:cs="Times New Roman"/>
          <w:kern w:val="0"/>
          <w:vertAlign w:val="superscript"/>
        </w:rPr>
        <w:t>2</w:t>
      </w:r>
      <w:r w:rsidR="0049503C">
        <w:rPr>
          <w:rFonts w:ascii="Times New Roman" w:hAnsi="Times New Roman" w:cs="Times New Roman"/>
          <w:kern w:val="0"/>
          <w:szCs w:val="24"/>
        </w:rPr>
        <w:t>/ d</w:t>
      </w:r>
      <w:r w:rsidRPr="003013DE">
        <w:rPr>
          <w:rFonts w:ascii="Times New Roman" w:hAnsi="Times New Roman" w:cs="Times New Roman"/>
        </w:rPr>
        <w:t>); In GS1, the measured one was 11.66</w:t>
      </w:r>
      <w:r w:rsidR="0049503C">
        <w:rPr>
          <w:rFonts w:ascii="Times New Roman" w:hAnsi="Times New Roman" w:cs="Times New Roman"/>
        </w:rPr>
        <w:t xml:space="preserve"> </w:t>
      </w:r>
      <w:r w:rsidR="0049503C">
        <w:rPr>
          <w:rFonts w:ascii="Times New Roman" w:hAnsi="Times New Roman" w:cs="Times New Roman"/>
          <w:kern w:val="0"/>
        </w:rPr>
        <w:t>mg C/ m</w:t>
      </w:r>
      <w:r w:rsidR="0049503C">
        <w:rPr>
          <w:rFonts w:ascii="Times New Roman" w:hAnsi="Times New Roman" w:cs="Times New Roman"/>
          <w:kern w:val="0"/>
          <w:vertAlign w:val="superscript"/>
        </w:rPr>
        <w:t>2</w:t>
      </w:r>
      <w:r w:rsidR="0049503C">
        <w:rPr>
          <w:rFonts w:ascii="Times New Roman" w:hAnsi="Times New Roman" w:cs="Times New Roman"/>
          <w:kern w:val="0"/>
          <w:szCs w:val="24"/>
        </w:rPr>
        <w:t>/ d</w:t>
      </w:r>
      <w:r w:rsidRPr="003013DE">
        <w:rPr>
          <w:rFonts w:ascii="Times New Roman" w:hAnsi="Times New Roman" w:cs="Times New Roman"/>
        </w:rPr>
        <w:t>, which corresponded well to the direct measurement (11.53</w:t>
      </w:r>
      <w:r w:rsidR="0049503C">
        <w:rPr>
          <w:rFonts w:ascii="Times New Roman" w:hAnsi="Times New Roman" w:cs="Times New Roman"/>
        </w:rPr>
        <w:t xml:space="preserve"> </w:t>
      </w:r>
      <w:r w:rsidR="0049503C">
        <w:rPr>
          <w:rFonts w:ascii="Times New Roman" w:hAnsi="Times New Roman" w:cs="Times New Roman"/>
          <w:kern w:val="0"/>
        </w:rPr>
        <w:t>mg C/ m</w:t>
      </w:r>
      <w:r w:rsidR="0049503C">
        <w:rPr>
          <w:rFonts w:ascii="Times New Roman" w:hAnsi="Times New Roman" w:cs="Times New Roman"/>
          <w:kern w:val="0"/>
          <w:vertAlign w:val="superscript"/>
        </w:rPr>
        <w:t>2</w:t>
      </w:r>
      <w:r w:rsidR="0049503C">
        <w:rPr>
          <w:rFonts w:ascii="Times New Roman" w:hAnsi="Times New Roman" w:cs="Times New Roman"/>
          <w:kern w:val="0"/>
          <w:szCs w:val="24"/>
        </w:rPr>
        <w:t>/ d</w:t>
      </w:r>
      <w:r w:rsidRPr="003013DE">
        <w:rPr>
          <w:rFonts w:ascii="Times New Roman" w:hAnsi="Times New Roman" w:cs="Times New Roman"/>
        </w:rPr>
        <w:t xml:space="preserve">). In addition, the magnitude of modeled TOU flows was the same as </w:t>
      </w:r>
      <w:r w:rsidR="00DC7CC2" w:rsidRPr="00F52A48">
        <w:rPr>
          <w:rFonts w:ascii="Times New Roman" w:hAnsi="Times New Roman" w:cs="Times New Roman"/>
          <w:i/>
        </w:rPr>
        <w:t>in situ</w:t>
      </w:r>
      <w:r w:rsidRPr="003013DE">
        <w:rPr>
          <w:rFonts w:ascii="Times New Roman" w:hAnsi="Times New Roman" w:cs="Times New Roman"/>
        </w:rPr>
        <w:t xml:space="preserve"> data, enhancing the credibility of LIM results. </w:t>
      </w:r>
    </w:p>
    <w:p w:rsidR="003013DE" w:rsidRPr="003013DE" w:rsidRDefault="003013DE" w:rsidP="003013DE">
      <w:pPr>
        <w:rPr>
          <w:rFonts w:ascii="Times New Roman" w:hAnsi="Times New Roman" w:cs="Times New Roman"/>
        </w:rPr>
      </w:pPr>
      <w:r w:rsidRPr="003013DE">
        <w:rPr>
          <w:rFonts w:ascii="Times New Roman" w:hAnsi="Times New Roman" w:cs="Times New Roman"/>
        </w:rPr>
        <w:t>However, here comes the difficulty to qu</w:t>
      </w:r>
      <w:r w:rsidR="00B267FF">
        <w:rPr>
          <w:rFonts w:ascii="Times New Roman" w:hAnsi="Times New Roman" w:cs="Times New Roman"/>
        </w:rPr>
        <w:t>antify the accurate amount of BM</w:t>
      </w:r>
      <w:r w:rsidRPr="003013DE">
        <w:rPr>
          <w:rFonts w:ascii="Times New Roman" w:hAnsi="Times New Roman" w:cs="Times New Roman"/>
        </w:rPr>
        <w:t>U. Though it seems like only the respiration of meiofauna and macrofauna was conside</w:t>
      </w:r>
      <w:r w:rsidR="0013359A">
        <w:rPr>
          <w:rFonts w:ascii="Times New Roman" w:hAnsi="Times New Roman" w:cs="Times New Roman"/>
        </w:rPr>
        <w:t>red in our food web structure (F</w:t>
      </w:r>
      <w:r w:rsidRPr="003013DE">
        <w:rPr>
          <w:rFonts w:ascii="Times New Roman" w:hAnsi="Times New Roman" w:cs="Times New Roman"/>
        </w:rPr>
        <w:t>ig.</w:t>
      </w:r>
      <w:r w:rsidR="0013359A">
        <w:rPr>
          <w:rFonts w:ascii="Times New Roman" w:hAnsi="Times New Roman" w:cs="Times New Roman"/>
        </w:rPr>
        <w:t xml:space="preserve"> 2</w:t>
      </w:r>
      <w:r w:rsidRPr="003013DE">
        <w:rPr>
          <w:rFonts w:ascii="Times New Roman" w:hAnsi="Times New Roman" w:cs="Times New Roman"/>
        </w:rPr>
        <w:t>), the actual meaning of B</w:t>
      </w:r>
      <w:r w:rsidR="00B267FF">
        <w:rPr>
          <w:rFonts w:ascii="Times New Roman" w:hAnsi="Times New Roman" w:cs="Times New Roman"/>
        </w:rPr>
        <w:t>M</w:t>
      </w:r>
      <w:r w:rsidRPr="003013DE">
        <w:rPr>
          <w:rFonts w:ascii="Times New Roman" w:hAnsi="Times New Roman" w:cs="Times New Roman"/>
        </w:rPr>
        <w:t>U was incompatible with this simplified process. This parameter not only includes the faunal respiration but the oxygen uptake related to biological activities (Glud et al., 2003). Numerous studies suggest macrobenthos play an important role in diagenetic reactions, sediment-water exchange, and the composition of sediments (e.g. Aller, 1982, 1994) through their activities, such as feeding, burrowing, tube construction, bioirrigation (</w:t>
      </w:r>
      <w:r w:rsidR="006251A6" w:rsidRPr="006251A6">
        <w:rPr>
          <w:rFonts w:ascii="Times New Roman" w:hAnsi="Times New Roman" w:cs="Times New Roman"/>
        </w:rPr>
        <w:t>Jørgensen et al., 200</w:t>
      </w:r>
      <w:r w:rsidRPr="006251A6">
        <w:rPr>
          <w:rFonts w:ascii="Times New Roman" w:hAnsi="Times New Roman" w:cs="Times New Roman"/>
        </w:rPr>
        <w:t>5</w:t>
      </w:r>
      <w:r w:rsidRPr="003013DE">
        <w:rPr>
          <w:rFonts w:ascii="Times New Roman" w:hAnsi="Times New Roman" w:cs="Times New Roman"/>
        </w:rPr>
        <w:t xml:space="preserve">), and even bioresuspension (Graf &amp; Rosenberg, 1997). For example, Forster </w:t>
      </w:r>
      <w:r w:rsidRPr="003013DE">
        <w:rPr>
          <w:rFonts w:ascii="Times New Roman" w:hAnsi="Times New Roman" w:cs="Times New Roman"/>
        </w:rPr>
        <w:lastRenderedPageBreak/>
        <w:t>&amp; Graf (1995) reported that two macrofauna species, Callianassa subterranea (Decapoda) and Lanice conchilega (Polychaeta) enhance TOU by 85% through their pumping behavior in the shallow North Sea. The animal-induced changes in oxygen distribution are notoriously difficult to quantify and even separate from respiration. Therefore, the simplest and most robust procedure to evaluate the fauna activities in mixed communities is to subtract DOU from TOU (Glud, 2008). Unfortunately, our biomass-based modeled B</w:t>
      </w:r>
      <w:r w:rsidR="00B267FF">
        <w:rPr>
          <w:rFonts w:ascii="Times New Roman" w:hAnsi="Times New Roman" w:cs="Times New Roman" w:hint="eastAsia"/>
        </w:rPr>
        <w:t>M</w:t>
      </w:r>
      <w:r w:rsidRPr="003013DE">
        <w:rPr>
          <w:rFonts w:ascii="Times New Roman" w:hAnsi="Times New Roman" w:cs="Times New Roman"/>
        </w:rPr>
        <w:t xml:space="preserve">U can only consider the respiration of fauna, and thus it turned out to be far less than the calculated results. </w:t>
      </w:r>
    </w:p>
    <w:p w:rsidR="003013DE" w:rsidRPr="003013DE" w:rsidRDefault="003013DE" w:rsidP="003013DE">
      <w:pPr>
        <w:rPr>
          <w:rFonts w:ascii="Times New Roman" w:hAnsi="Times New Roman" w:cs="Times New Roman"/>
        </w:rPr>
      </w:pPr>
      <w:r w:rsidRPr="003013DE">
        <w:rPr>
          <w:rFonts w:ascii="Times New Roman" w:hAnsi="Times New Roman" w:cs="Times New Roman"/>
        </w:rPr>
        <w:t>On the other hand, the total biomass of meiobenthos and macrobenthos was significantly higher on the slope, which could be explained by our modeled B</w:t>
      </w:r>
      <w:r w:rsidR="00B267FF">
        <w:rPr>
          <w:rFonts w:ascii="Times New Roman" w:hAnsi="Times New Roman" w:cs="Times New Roman" w:hint="eastAsia"/>
        </w:rPr>
        <w:t>M</w:t>
      </w:r>
      <w:r w:rsidRPr="003013DE">
        <w:rPr>
          <w:rFonts w:ascii="Times New Roman" w:hAnsi="Times New Roman" w:cs="Times New Roman"/>
        </w:rPr>
        <w:t xml:space="preserve">U with a higher value in GS1. The calculated </w:t>
      </w:r>
      <w:r w:rsidR="00DC7CC2" w:rsidRPr="00F52A48">
        <w:rPr>
          <w:rFonts w:ascii="Times New Roman" w:hAnsi="Times New Roman" w:cs="Times New Roman"/>
          <w:i/>
        </w:rPr>
        <w:t>in situ</w:t>
      </w:r>
      <w:r w:rsidRPr="003013DE">
        <w:rPr>
          <w:rFonts w:ascii="Times New Roman" w:hAnsi="Times New Roman" w:cs="Times New Roman"/>
        </w:rPr>
        <w:t xml:space="preserve"> B</w:t>
      </w:r>
      <w:r w:rsidR="00B267FF">
        <w:rPr>
          <w:rFonts w:ascii="Times New Roman" w:hAnsi="Times New Roman" w:cs="Times New Roman" w:hint="eastAsia"/>
        </w:rPr>
        <w:t>M</w:t>
      </w:r>
      <w:r w:rsidRPr="003013DE">
        <w:rPr>
          <w:rFonts w:ascii="Times New Roman" w:hAnsi="Times New Roman" w:cs="Times New Roman"/>
        </w:rPr>
        <w:t>U, however, was not distinctly different in both sites (GC1: 62.34</w:t>
      </w:r>
      <w:r w:rsidR="0049503C">
        <w:rPr>
          <w:rFonts w:ascii="Times New Roman" w:hAnsi="Times New Roman" w:cs="Times New Roman"/>
        </w:rPr>
        <w:t xml:space="preserve"> </w:t>
      </w:r>
      <w:r w:rsidR="0049503C">
        <w:rPr>
          <w:rFonts w:ascii="Times New Roman" w:hAnsi="Times New Roman" w:cs="Times New Roman"/>
          <w:kern w:val="0"/>
        </w:rPr>
        <w:t>mg C/ m</w:t>
      </w:r>
      <w:r w:rsidR="0049503C">
        <w:rPr>
          <w:rFonts w:ascii="Times New Roman" w:hAnsi="Times New Roman" w:cs="Times New Roman"/>
          <w:kern w:val="0"/>
          <w:vertAlign w:val="superscript"/>
        </w:rPr>
        <w:t>2</w:t>
      </w:r>
      <w:r w:rsidR="0049503C">
        <w:rPr>
          <w:rFonts w:ascii="Times New Roman" w:hAnsi="Times New Roman" w:cs="Times New Roman"/>
          <w:kern w:val="0"/>
          <w:szCs w:val="24"/>
        </w:rPr>
        <w:t>/ d</w:t>
      </w:r>
      <w:r w:rsidRPr="003013DE">
        <w:rPr>
          <w:rFonts w:ascii="Times New Roman" w:hAnsi="Times New Roman" w:cs="Times New Roman"/>
        </w:rPr>
        <w:t>; GS1:62.01</w:t>
      </w:r>
      <w:r w:rsidR="0049503C">
        <w:rPr>
          <w:rFonts w:ascii="Times New Roman" w:hAnsi="Times New Roman" w:cs="Times New Roman"/>
        </w:rPr>
        <w:t xml:space="preserve"> </w:t>
      </w:r>
      <w:r w:rsidR="0049503C">
        <w:rPr>
          <w:rFonts w:ascii="Times New Roman" w:hAnsi="Times New Roman" w:cs="Times New Roman"/>
          <w:kern w:val="0"/>
        </w:rPr>
        <w:t>mg C/ m</w:t>
      </w:r>
      <w:r w:rsidR="0049503C">
        <w:rPr>
          <w:rFonts w:ascii="Times New Roman" w:hAnsi="Times New Roman" w:cs="Times New Roman"/>
          <w:kern w:val="0"/>
          <w:vertAlign w:val="superscript"/>
        </w:rPr>
        <w:t>2</w:t>
      </w:r>
      <w:r w:rsidR="0049503C">
        <w:rPr>
          <w:rFonts w:ascii="Times New Roman" w:hAnsi="Times New Roman" w:cs="Times New Roman"/>
          <w:kern w:val="0"/>
          <w:szCs w:val="24"/>
        </w:rPr>
        <w:t>/ d</w:t>
      </w:r>
      <w:r w:rsidRPr="003013DE">
        <w:rPr>
          <w:rFonts w:ascii="Times New Roman" w:hAnsi="Times New Roman" w:cs="Times New Roman"/>
        </w:rPr>
        <w:t>). It reflects the fact that the biomass is poorly related to the bio</w:t>
      </w:r>
      <w:r w:rsidR="00B267FF">
        <w:rPr>
          <w:rFonts w:ascii="Times New Roman" w:hAnsi="Times New Roman" w:cs="Times New Roman"/>
        </w:rPr>
        <w:t>turbation and thus calculated B</w:t>
      </w:r>
      <w:r w:rsidR="00B267FF">
        <w:rPr>
          <w:rFonts w:ascii="Times New Roman" w:hAnsi="Times New Roman" w:cs="Times New Roman" w:hint="eastAsia"/>
        </w:rPr>
        <w:t>M</w:t>
      </w:r>
      <w:r w:rsidRPr="003013DE">
        <w:rPr>
          <w:rFonts w:ascii="Times New Roman" w:hAnsi="Times New Roman" w:cs="Times New Roman"/>
        </w:rPr>
        <w:t xml:space="preserve">U, which has been pointed out in previous </w:t>
      </w:r>
      <w:r w:rsidR="00DC7CC2" w:rsidRPr="00F52A48">
        <w:rPr>
          <w:rFonts w:ascii="Times New Roman" w:hAnsi="Times New Roman" w:cs="Times New Roman"/>
          <w:i/>
        </w:rPr>
        <w:t>in situ</w:t>
      </w:r>
      <w:r w:rsidRPr="003013DE">
        <w:rPr>
          <w:rFonts w:ascii="Times New Roman" w:hAnsi="Times New Roman" w:cs="Times New Roman"/>
        </w:rPr>
        <w:t xml:space="preserve"> experimental studies. In Glud et al. (2003), they found it difficult to relate faunal biomass to bentho-mediated oxygen uptake of a community undergoing seasonal changes. Therefore, the biomass of macrobenthos is not a good proxy to estimate fauna-related oxygen uptake in natural benthic communities.</w:t>
      </w:r>
    </w:p>
    <w:p w:rsidR="003013DE" w:rsidRDefault="003013DE" w:rsidP="003013DE">
      <w:pPr>
        <w:rPr>
          <w:rFonts w:ascii="Times New Roman" w:hAnsi="Times New Roman" w:cs="Times New Roman"/>
        </w:rPr>
      </w:pPr>
      <w:r w:rsidRPr="003013DE">
        <w:rPr>
          <w:rFonts w:ascii="Times New Roman" w:hAnsi="Times New Roman" w:cs="Times New Roman"/>
        </w:rPr>
        <w:t>Liao et al. (2017) have examined the vertical distributions of macrofauna in the sediments, and their results have indicated that the abundance-weighted mean vertical positions of macrobenthos were significantly deeper in the sediment of upper GPSC than that of the slope. In addition, several polychaetes families capable of burrowing deep into the sediment, including paraonids, cossurids, capitellids, and sternaspids, were found thriving in the canyon habitats (Liao et al., 2017). In contrast, the discretely motile, surface deposit, and suspension feeders (e.g. cirratulids, ampharetids, and spionids) were found in the sediment of the slope but diminished in that of the canyon. Therefore, the high B</w:t>
      </w:r>
      <w:r w:rsidR="00B267FF">
        <w:rPr>
          <w:rFonts w:ascii="Times New Roman" w:hAnsi="Times New Roman" w:cs="Times New Roman" w:hint="eastAsia"/>
        </w:rPr>
        <w:t>M</w:t>
      </w:r>
      <w:r w:rsidRPr="003013DE">
        <w:rPr>
          <w:rFonts w:ascii="Times New Roman" w:hAnsi="Times New Roman" w:cs="Times New Roman"/>
        </w:rPr>
        <w:t>U value in GC1 may be caused by the active bioturbation.</w:t>
      </w:r>
    </w:p>
    <w:p w:rsidR="00B1596F" w:rsidRPr="00B1596F" w:rsidRDefault="00B1596F" w:rsidP="00B1596F">
      <w:pPr>
        <w:rPr>
          <w:rFonts w:ascii="Times New Roman" w:hAnsi="Times New Roman" w:cs="Times New Roman"/>
        </w:rPr>
      </w:pPr>
      <w:r>
        <w:rPr>
          <w:rFonts w:ascii="Times New Roman" w:hAnsi="Times New Roman" w:cs="Times New Roman" w:hint="eastAsia"/>
        </w:rPr>
        <w:t>In</w:t>
      </w:r>
      <w:r>
        <w:rPr>
          <w:rFonts w:ascii="Times New Roman" w:hAnsi="Times New Roman" w:cs="Times New Roman"/>
        </w:rPr>
        <w:t xml:space="preserve"> fact, SCOC</w:t>
      </w:r>
      <w:r w:rsidRPr="00B1596F">
        <w:rPr>
          <w:rFonts w:ascii="Times New Roman" w:hAnsi="Times New Roman" w:cs="Times New Roman"/>
        </w:rPr>
        <w:t xml:space="preserve"> is a generally accepted measure of total benthic carbon degradation in marine sediments, and it is considered to be the most reliable proxy because it integrated degradation through several biogeochemical processes (e.g. aerobic activity, nitrification, and re-oxidation of reduced inorganic compounds) (Stratmann et al.,2019). Therefore, a benthic activity which response to a variation in POC input should be reflected by a variation in SCOC. Early in Smith (1987), however, it had been pointed out that the vertical POC flux determined by sediment traps does not match the carbon demand of the benthic community. Smith and Kaufmann (1999) reported a long-term discrepancy between food supply and demand in the Eastern North Pacific, the POC fluxes contributed only 52% to 59% of the SCOC. On the </w:t>
      </w:r>
      <w:r w:rsidRPr="00B1596F">
        <w:rPr>
          <w:rFonts w:ascii="Times New Roman" w:hAnsi="Times New Roman" w:cs="Times New Roman"/>
        </w:rPr>
        <w:lastRenderedPageBreak/>
        <w:t>abyssal plain in the deep Arabian Sea, the imbalance between carbon supply and demand varied regionally (Witte &amp; Pfannkuche, 1999), the trap fluxes matched 50% of the benthic carbon demand in their southernmost station but only 20% in the westernmost station. These mismatches were mainly explained as the uncertainties in respect to relatively short-term SCOC incubations via long-term sediment trap deployment (Witte &amp; Pfannkuche, 1999). In addition, several studies suggested the quantity and the quality of settling OM should play a crucial role in the benthic response (Soetart et al., 1996; Rabouille et al., 1998).</w:t>
      </w:r>
    </w:p>
    <w:p w:rsidR="00064A8E" w:rsidRDefault="003013DE" w:rsidP="003013DE">
      <w:pPr>
        <w:rPr>
          <w:rFonts w:ascii="Times New Roman" w:hAnsi="Times New Roman" w:cs="Times New Roman"/>
        </w:rPr>
      </w:pPr>
      <w:r w:rsidRPr="003013DE">
        <w:rPr>
          <w:rFonts w:ascii="Times New Roman" w:hAnsi="Times New Roman" w:cs="Times New Roman"/>
        </w:rPr>
        <w:t>Besides, the benthic oxygen consumption rates can be affected by a combination of factors, including primary production, quality of OM, and bottom-water oxygen concentrations (Jahnke, 1996; Wenzhöfer and Glud, 2002). It has been reported that the dissolved oxygen concentration in bottom water increased toward the canyon head in GPSC (Liao et al., 2017). Also, Wang et al. (2008) have reported that the flow velocity near the head</w:t>
      </w:r>
      <w:r w:rsidR="0049503C">
        <w:rPr>
          <w:rFonts w:ascii="Times New Roman" w:hAnsi="Times New Roman" w:cs="Times New Roman"/>
        </w:rPr>
        <w:t xml:space="preserve"> of GPSC regularly exceeded 1 m/ s</w:t>
      </w:r>
      <w:r w:rsidRPr="003013DE">
        <w:rPr>
          <w:rFonts w:ascii="Times New Roman" w:hAnsi="Times New Roman" w:cs="Times New Roman"/>
        </w:rPr>
        <w:t xml:space="preserve"> with the </w:t>
      </w:r>
      <w:r w:rsidRPr="0049503C">
        <w:rPr>
          <w:rFonts w:ascii="Times New Roman" w:hAnsi="Times New Roman" w:cs="Times New Roman"/>
          <w:i/>
        </w:rPr>
        <w:t>in situ</w:t>
      </w:r>
      <w:r w:rsidRPr="003013DE">
        <w:rPr>
          <w:rFonts w:ascii="Times New Roman" w:hAnsi="Times New Roman" w:cs="Times New Roman"/>
        </w:rPr>
        <w:t xml:space="preserve"> observations from moored and shipboard acoustic Doppler current profilers (ADCP). This high flow velocity leads to strong bottom-water currents and strong resuspension of surficial sediments (Moodley et al., 1998), which may result in the high oxygen consumption rates measured at GC1. In short, the peculiarly high value of calculated </w:t>
      </w:r>
      <w:r w:rsidR="00DC7CC2" w:rsidRPr="00F52A48">
        <w:rPr>
          <w:rFonts w:ascii="Times New Roman" w:hAnsi="Times New Roman" w:cs="Times New Roman"/>
          <w:i/>
        </w:rPr>
        <w:t>in situ</w:t>
      </w:r>
      <w:r w:rsidR="00B267FF">
        <w:rPr>
          <w:rFonts w:ascii="Times New Roman" w:hAnsi="Times New Roman" w:cs="Times New Roman"/>
        </w:rPr>
        <w:t xml:space="preserve"> B</w:t>
      </w:r>
      <w:r w:rsidR="00B267FF">
        <w:rPr>
          <w:rFonts w:ascii="Times New Roman" w:hAnsi="Times New Roman" w:cs="Times New Roman" w:hint="eastAsia"/>
        </w:rPr>
        <w:t>M</w:t>
      </w:r>
      <w:r w:rsidRPr="003013DE">
        <w:rPr>
          <w:rFonts w:ascii="Times New Roman" w:hAnsi="Times New Roman" w:cs="Times New Roman"/>
        </w:rPr>
        <w:t>U in GC1 might be consumed by the underestimated bioturbation, physical disturbances, and chemical oxidation.</w:t>
      </w:r>
    </w:p>
    <w:p w:rsidR="00452FFD" w:rsidRDefault="00C36AAA" w:rsidP="005E194A">
      <w:pPr>
        <w:rPr>
          <w:rFonts w:ascii="Times New Roman" w:hAnsi="Times New Roman" w:cs="Times New Roman"/>
        </w:rPr>
      </w:pPr>
      <w:r>
        <w:rPr>
          <w:rFonts w:ascii="Times New Roman" w:hAnsi="Times New Roman" w:cs="Times New Roman" w:hint="eastAsia"/>
        </w:rPr>
        <w:t>An</w:t>
      </w:r>
      <w:r>
        <w:rPr>
          <w:rFonts w:ascii="Times New Roman" w:hAnsi="Times New Roman" w:cs="Times New Roman"/>
        </w:rPr>
        <w:t xml:space="preserve">other issue is </w:t>
      </w:r>
      <w:r w:rsidR="006251A6">
        <w:rPr>
          <w:rFonts w:ascii="Times New Roman" w:hAnsi="Times New Roman" w:cs="Times New Roman"/>
        </w:rPr>
        <w:t xml:space="preserve">that </w:t>
      </w:r>
      <w:r>
        <w:rPr>
          <w:rFonts w:ascii="Times New Roman" w:hAnsi="Times New Roman" w:cs="Times New Roman"/>
        </w:rPr>
        <w:t xml:space="preserve">the </w:t>
      </w:r>
      <w:r w:rsidR="005C10D8">
        <w:rPr>
          <w:rFonts w:ascii="Times New Roman" w:hAnsi="Times New Roman" w:cs="Times New Roman"/>
        </w:rPr>
        <w:t>difference</w:t>
      </w:r>
      <w:r>
        <w:rPr>
          <w:rFonts w:ascii="Times New Roman" w:hAnsi="Times New Roman" w:cs="Times New Roman"/>
        </w:rPr>
        <w:t xml:space="preserve"> between</w:t>
      </w:r>
      <w:r w:rsidR="005C10D8">
        <w:rPr>
          <w:rFonts w:ascii="Times New Roman" w:hAnsi="Times New Roman" w:cs="Times New Roman"/>
        </w:rPr>
        <w:t xml:space="preserve"> flow values calculated by different algorithms</w:t>
      </w:r>
      <w:r w:rsidR="0013359A">
        <w:rPr>
          <w:rFonts w:ascii="Times New Roman" w:hAnsi="Times New Roman" w:cs="Times New Roman"/>
        </w:rPr>
        <w:t xml:space="preserve"> (F</w:t>
      </w:r>
      <w:r w:rsidR="006251A6">
        <w:rPr>
          <w:rFonts w:ascii="Times New Roman" w:hAnsi="Times New Roman" w:cs="Times New Roman"/>
        </w:rPr>
        <w:t>ig.</w:t>
      </w:r>
      <w:r w:rsidR="0013359A">
        <w:rPr>
          <w:rFonts w:ascii="Times New Roman" w:hAnsi="Times New Roman" w:cs="Times New Roman"/>
        </w:rPr>
        <w:t xml:space="preserve"> 12</w:t>
      </w:r>
      <w:r w:rsidR="006251A6">
        <w:rPr>
          <w:rFonts w:ascii="Times New Roman" w:hAnsi="Times New Roman" w:cs="Times New Roman" w:hint="eastAsia"/>
        </w:rPr>
        <w:t>)</w:t>
      </w:r>
      <w:r w:rsidR="005C10D8">
        <w:rPr>
          <w:rFonts w:ascii="Times New Roman" w:hAnsi="Times New Roman" w:cs="Times New Roman"/>
        </w:rPr>
        <w:t xml:space="preserve">. </w:t>
      </w:r>
      <w:r>
        <w:rPr>
          <w:rFonts w:ascii="Times New Roman" w:hAnsi="Times New Roman" w:cs="Times New Roman"/>
        </w:rPr>
        <w:t>As previously mentioned, t</w:t>
      </w:r>
      <w:r w:rsidR="005E194A" w:rsidRPr="005E194A">
        <w:rPr>
          <w:rFonts w:ascii="Times New Roman" w:hAnsi="Times New Roman" w:cs="Times New Roman"/>
        </w:rPr>
        <w:t>he food web of GPSC and the adjacent slope were modeled based on a large data set comprising site-specific biogeochemical data, physiological constraints, and empirical relations from the literature. Despite that a variety of constraints was imposed in our model, it was still insufficient to quantify a unique solution set. These constraints, however, imply that a ‘‘solution space’’ exists (van Oevelen et al., 2010). Within the solution space, an infinite number of solutions set which are consistent with the data are present (Soetaert and van Oevelen, 2009). While the conventional single-solution modeling approach typically provided a mathematically “the best” solution set, the solution of flows was mostly close to the boundaries of t</w:t>
      </w:r>
      <w:r w:rsidR="0013359A">
        <w:rPr>
          <w:rFonts w:ascii="Times New Roman" w:hAnsi="Times New Roman" w:cs="Times New Roman"/>
        </w:rPr>
        <w:t>he solution space as shown in (F</w:t>
      </w:r>
      <w:r w:rsidR="005E194A" w:rsidRPr="005E194A">
        <w:rPr>
          <w:rFonts w:ascii="Times New Roman" w:hAnsi="Times New Roman" w:cs="Times New Roman"/>
        </w:rPr>
        <w:t>ig.</w:t>
      </w:r>
      <w:r w:rsidR="0013359A">
        <w:rPr>
          <w:rFonts w:ascii="Times New Roman" w:hAnsi="Times New Roman" w:cs="Times New Roman"/>
        </w:rPr>
        <w:t xml:space="preserve"> 12</w:t>
      </w:r>
      <w:r w:rsidR="005E194A" w:rsidRPr="005E194A">
        <w:rPr>
          <w:rFonts w:ascii="Times New Roman" w:hAnsi="Times New Roman" w:cs="Times New Roman"/>
        </w:rPr>
        <w:t xml:space="preserve">). On the other hand, the likelihood method based on the MCMC algorithm provided multiple solution sets, which could form a distribution of a probability density function (PDF) in the solution space. With this multi-solution approach, the solution sets are sampled from the solution space (Van den Meersche et al., 2009), and the mean of this sampled set could represent the central flow values which are less sensitive to the boundaries of the solution space (Van Oevelen et al., 2010). For each flow in our model, the mean and standard deviations of the 10,000 solutions were </w:t>
      </w:r>
      <w:r w:rsidR="005E194A" w:rsidRPr="005E194A">
        <w:rPr>
          <w:rFonts w:ascii="Times New Roman" w:hAnsi="Times New Roman" w:cs="Times New Roman"/>
        </w:rPr>
        <w:lastRenderedPageBreak/>
        <w:t>calculated. Though the standard deviation represents how the uncertainty in the data set propagates to an uncertainty on the flow value (Van Oevelen et al., 2010), it still should be noted that the standard deviation was artificially set to a ±2% error margin to iterate until the convergence of solution sets.</w:t>
      </w:r>
    </w:p>
    <w:p w:rsidR="0049503C" w:rsidRPr="005E194A" w:rsidRDefault="0049503C" w:rsidP="005E194A">
      <w:pPr>
        <w:rPr>
          <w:rFonts w:ascii="Times New Roman" w:hAnsi="Times New Roman" w:cs="Times New Roman"/>
        </w:rPr>
      </w:pPr>
    </w:p>
    <w:p w:rsidR="0069463C" w:rsidRPr="00260A9A" w:rsidRDefault="00C255DD" w:rsidP="0069463C">
      <w:pPr>
        <w:rPr>
          <w:rFonts w:ascii="Times New Roman" w:hAnsi="Times New Roman" w:cs="Times New Roman"/>
          <w:b/>
        </w:rPr>
      </w:pPr>
      <w:r w:rsidRPr="00260A9A">
        <w:rPr>
          <w:rFonts w:ascii="Times New Roman" w:hAnsi="Times New Roman" w:cs="Times New Roman"/>
          <w:b/>
        </w:rPr>
        <w:t>Carbon demand</w:t>
      </w:r>
      <w:r w:rsidR="00260A9A" w:rsidRPr="00260A9A">
        <w:rPr>
          <w:rFonts w:ascii="Times New Roman" w:hAnsi="Times New Roman" w:cs="Times New Roman" w:hint="eastAsia"/>
          <w:b/>
        </w:rPr>
        <w:t xml:space="preserve"> f</w:t>
      </w:r>
      <w:r w:rsidR="00260A9A" w:rsidRPr="00260A9A">
        <w:rPr>
          <w:rFonts w:ascii="Times New Roman" w:hAnsi="Times New Roman" w:cs="Times New Roman"/>
          <w:b/>
        </w:rPr>
        <w:t xml:space="preserve">rom </w:t>
      </w:r>
      <w:r w:rsidRPr="00260A9A">
        <w:rPr>
          <w:rFonts w:ascii="Times New Roman" w:hAnsi="Times New Roman" w:cs="Times New Roman"/>
          <w:b/>
        </w:rPr>
        <w:t xml:space="preserve">the </w:t>
      </w:r>
      <w:r w:rsidR="00260A9A" w:rsidRPr="00260A9A">
        <w:rPr>
          <w:rFonts w:ascii="Times New Roman" w:hAnsi="Times New Roman" w:cs="Times New Roman"/>
          <w:b/>
        </w:rPr>
        <w:t>benthic community</w:t>
      </w:r>
    </w:p>
    <w:p w:rsidR="003013DE" w:rsidRPr="003013DE" w:rsidRDefault="003013DE" w:rsidP="003013DE">
      <w:pPr>
        <w:rPr>
          <w:rFonts w:ascii="Times New Roman" w:hAnsi="Times New Roman" w:cs="Times New Roman"/>
        </w:rPr>
      </w:pPr>
      <w:r w:rsidRPr="003013DE">
        <w:rPr>
          <w:rFonts w:ascii="Times New Roman" w:hAnsi="Times New Roman" w:cs="Times New Roman"/>
        </w:rPr>
        <w:t xml:space="preserve">The initial attempt to insert the POC rain flux from the reference failed. This conflict problem is often seen in LIM studies (e.g. van Ovelen et al., 2011; De Smet et al., 2016). For example, De Smet et al. (2016) studied the </w:t>
      </w:r>
      <w:r w:rsidRPr="006251A6">
        <w:rPr>
          <w:rFonts w:ascii="Times New Roman" w:hAnsi="Times New Roman" w:cs="Times New Roman"/>
          <w:i/>
        </w:rPr>
        <w:t>L. conchilega</w:t>
      </w:r>
      <w:r w:rsidRPr="003013DE">
        <w:rPr>
          <w:rFonts w:ascii="Times New Roman" w:hAnsi="Times New Roman" w:cs="Times New Roman"/>
        </w:rPr>
        <w:t xml:space="preserve"> reef with LIM models. Most of their models could not be solved when they direct set the </w:t>
      </w:r>
      <w:r w:rsidR="00DC7CC2" w:rsidRPr="00F52A48">
        <w:rPr>
          <w:rFonts w:ascii="Times New Roman" w:hAnsi="Times New Roman" w:cs="Times New Roman"/>
          <w:i/>
        </w:rPr>
        <w:t>in situ</w:t>
      </w:r>
      <w:r w:rsidRPr="003013DE">
        <w:rPr>
          <w:rFonts w:ascii="Times New Roman" w:hAnsi="Times New Roman" w:cs="Times New Roman"/>
        </w:rPr>
        <w:t xml:space="preserve"> primary production rates as the input, because this rate did not take into account the OM brought from the external water flow. Therefore, they added a flow as additional OM input, and then left the value of which to be determined by the model itself. Similarly, in our food web structure, only the particulate form of OC was considered as the input of POC rain flux, which may ignore the direct dissolved organic matter (DOM) assumption by the bacteria. As a result, the reference value (53.85 </w:t>
      </w:r>
      <w:r w:rsidR="0049503C">
        <w:rPr>
          <w:rFonts w:ascii="Times New Roman" w:hAnsi="Times New Roman" w:cs="Times New Roman"/>
          <w:kern w:val="0"/>
        </w:rPr>
        <w:t>mg C/ m</w:t>
      </w:r>
      <w:r w:rsidR="0049503C">
        <w:rPr>
          <w:rFonts w:ascii="Times New Roman" w:hAnsi="Times New Roman" w:cs="Times New Roman"/>
          <w:kern w:val="0"/>
          <w:vertAlign w:val="superscript"/>
        </w:rPr>
        <w:t>2</w:t>
      </w:r>
      <w:r w:rsidR="0049503C">
        <w:rPr>
          <w:rFonts w:ascii="Times New Roman" w:hAnsi="Times New Roman" w:cs="Times New Roman"/>
          <w:kern w:val="0"/>
          <w:szCs w:val="24"/>
        </w:rPr>
        <w:t>/ d</w:t>
      </w:r>
      <w:r w:rsidRPr="003013DE">
        <w:rPr>
          <w:rFonts w:ascii="Times New Roman" w:hAnsi="Times New Roman" w:cs="Times New Roman"/>
        </w:rPr>
        <w:t xml:space="preserve">) was not sufficient for supporting the whole system. DOM is expected to be taken up more easily than POM for bacteria because they need to produce enzymes to hydrolyze polymeric sinking particles before the material pass through cell membranes and the metabolization (Verdugo et al., 2004). Moreover, Pape et al. (2013) conducted experiments to evaluate the fate of DOM carbon in different benthic environments (North Atlantic and Western Mediterranean slope sites), which resulted in bacteria dominating DOM carbon uptake. </w:t>
      </w:r>
    </w:p>
    <w:p w:rsidR="008A28B9" w:rsidRPr="008A28B9" w:rsidRDefault="003013DE" w:rsidP="00EE4CD9">
      <w:pPr>
        <w:ind w:right="240"/>
        <w:rPr>
          <w:rFonts w:ascii="Times New Roman" w:hAnsi="Times New Roman" w:cs="Times New Roman"/>
        </w:rPr>
      </w:pPr>
      <w:r w:rsidRPr="003013DE">
        <w:rPr>
          <w:rFonts w:ascii="Times New Roman" w:hAnsi="Times New Roman" w:cs="Times New Roman"/>
        </w:rPr>
        <w:t>To solve the deficiency of OC input and the contradiction of the model, our research question should be revised to quantify the amount of the least carbon demand in the system under our simplified food web st</w:t>
      </w:r>
      <w:r w:rsidR="0013359A">
        <w:rPr>
          <w:rFonts w:ascii="Times New Roman" w:hAnsi="Times New Roman" w:cs="Times New Roman"/>
        </w:rPr>
        <w:t>ructure. From the LIM results (F</w:t>
      </w:r>
      <w:r w:rsidRPr="003013DE">
        <w:rPr>
          <w:rFonts w:ascii="Times New Roman" w:hAnsi="Times New Roman" w:cs="Times New Roman"/>
        </w:rPr>
        <w:t>ig.</w:t>
      </w:r>
      <w:r w:rsidR="0013359A">
        <w:rPr>
          <w:rFonts w:ascii="Times New Roman" w:hAnsi="Times New Roman" w:cs="Times New Roman"/>
        </w:rPr>
        <w:t xml:space="preserve"> 13 and Fig. 14</w:t>
      </w:r>
      <w:r w:rsidRPr="003013DE">
        <w:rPr>
          <w:rFonts w:ascii="Times New Roman" w:hAnsi="Times New Roman" w:cs="Times New Roman"/>
        </w:rPr>
        <w:t>), the OC demand for the two sites (GC1: 131.08</w:t>
      </w:r>
      <w:r w:rsidR="0049503C">
        <w:rPr>
          <w:rFonts w:ascii="Times New Roman" w:hAnsi="Times New Roman" w:cs="Times New Roman"/>
        </w:rPr>
        <w:t xml:space="preserve"> </w:t>
      </w:r>
      <w:r w:rsidR="0049503C">
        <w:rPr>
          <w:rFonts w:ascii="Times New Roman" w:hAnsi="Times New Roman" w:cs="Times New Roman"/>
          <w:kern w:val="0"/>
        </w:rPr>
        <w:t>mg C/ m</w:t>
      </w:r>
      <w:r w:rsidR="0049503C">
        <w:rPr>
          <w:rFonts w:ascii="Times New Roman" w:hAnsi="Times New Roman" w:cs="Times New Roman"/>
          <w:kern w:val="0"/>
          <w:vertAlign w:val="superscript"/>
        </w:rPr>
        <w:t>2</w:t>
      </w:r>
      <w:r w:rsidR="0049503C">
        <w:rPr>
          <w:rFonts w:ascii="Times New Roman" w:hAnsi="Times New Roman" w:cs="Times New Roman"/>
          <w:kern w:val="0"/>
          <w:szCs w:val="24"/>
        </w:rPr>
        <w:t>/ d</w:t>
      </w:r>
      <w:r w:rsidRPr="003013DE">
        <w:rPr>
          <w:rFonts w:ascii="Times New Roman" w:hAnsi="Times New Roman" w:cs="Times New Roman"/>
        </w:rPr>
        <w:t>; GS1:</w:t>
      </w:r>
      <w:r w:rsidR="0049503C">
        <w:rPr>
          <w:rFonts w:ascii="Times New Roman" w:hAnsi="Times New Roman" w:cs="Times New Roman"/>
        </w:rPr>
        <w:t xml:space="preserve"> </w:t>
      </w:r>
      <w:r w:rsidRPr="003013DE">
        <w:rPr>
          <w:rFonts w:ascii="Times New Roman" w:hAnsi="Times New Roman" w:cs="Times New Roman"/>
        </w:rPr>
        <w:t>78.95</w:t>
      </w:r>
      <w:r w:rsidR="0049503C">
        <w:rPr>
          <w:rFonts w:ascii="Times New Roman" w:hAnsi="Times New Roman" w:cs="Times New Roman"/>
        </w:rPr>
        <w:t xml:space="preserve"> </w:t>
      </w:r>
      <w:r w:rsidR="0049503C">
        <w:rPr>
          <w:rFonts w:ascii="Times New Roman" w:hAnsi="Times New Roman" w:cs="Times New Roman"/>
          <w:kern w:val="0"/>
        </w:rPr>
        <w:t>mg C/ m</w:t>
      </w:r>
      <w:r w:rsidR="0049503C">
        <w:rPr>
          <w:rFonts w:ascii="Times New Roman" w:hAnsi="Times New Roman" w:cs="Times New Roman"/>
          <w:kern w:val="0"/>
          <w:vertAlign w:val="superscript"/>
        </w:rPr>
        <w:t>2</w:t>
      </w:r>
      <w:r w:rsidR="0049503C">
        <w:rPr>
          <w:rFonts w:ascii="Times New Roman" w:hAnsi="Times New Roman" w:cs="Times New Roman"/>
          <w:kern w:val="0"/>
          <w:szCs w:val="24"/>
        </w:rPr>
        <w:t>/ d</w:t>
      </w:r>
      <w:r w:rsidRPr="003013DE">
        <w:rPr>
          <w:rFonts w:ascii="Times New Roman" w:hAnsi="Times New Roman" w:cs="Times New Roman"/>
        </w:rPr>
        <w:t>) was larger than the reference value, especially in the canyon head, which was larger by a factor of three. This indicates a substantial proportion of carbon that may enter the microbial loop as dissolved form.</w:t>
      </w:r>
      <w:r w:rsidR="00B2502C">
        <w:rPr>
          <w:rFonts w:ascii="Times New Roman" w:hAnsi="Times New Roman" w:cs="Times New Roman"/>
        </w:rPr>
        <w:t xml:space="preserve"> </w:t>
      </w:r>
      <w:r w:rsidR="0063512B">
        <w:rPr>
          <w:rFonts w:ascii="Times New Roman" w:hAnsi="Times New Roman" w:cs="Times New Roman"/>
        </w:rPr>
        <w:t>Besides, t</w:t>
      </w:r>
      <w:r w:rsidR="008A28B9">
        <w:rPr>
          <w:rFonts w:ascii="Times New Roman" w:hAnsi="Times New Roman" w:cs="Times New Roman"/>
        </w:rPr>
        <w:t xml:space="preserve">he converted POC flux reported in </w:t>
      </w:r>
      <w:r w:rsidR="008A28B9" w:rsidRPr="002B0BDB">
        <w:rPr>
          <w:rFonts w:ascii="Times New Roman" w:hAnsi="Times New Roman" w:cs="Times New Roman"/>
        </w:rPr>
        <w:t>Liu et al. (2006)</w:t>
      </w:r>
      <w:r w:rsidR="008A28B9">
        <w:rPr>
          <w:rFonts w:ascii="Times New Roman" w:hAnsi="Times New Roman" w:cs="Times New Roman"/>
        </w:rPr>
        <w:t xml:space="preserve"> was 6 to 10 times higher than</w:t>
      </w:r>
      <w:r w:rsidR="0063512B">
        <w:rPr>
          <w:rFonts w:ascii="Times New Roman" w:hAnsi="Times New Roman" w:cs="Times New Roman"/>
        </w:rPr>
        <w:t xml:space="preserve"> both the reference estimation (Huh et al., 2009) and </w:t>
      </w:r>
      <w:r w:rsidR="008A28B9">
        <w:rPr>
          <w:rFonts w:ascii="Times New Roman" w:hAnsi="Times New Roman" w:cs="Times New Roman"/>
        </w:rPr>
        <w:t>our modelled value</w:t>
      </w:r>
      <w:r w:rsidR="001F7158">
        <w:rPr>
          <w:rFonts w:ascii="Times New Roman" w:hAnsi="Times New Roman" w:cs="Times New Roman"/>
        </w:rPr>
        <w:t>. This</w:t>
      </w:r>
      <w:r w:rsidR="0063512B">
        <w:rPr>
          <w:rFonts w:ascii="Times New Roman" w:hAnsi="Times New Roman" w:cs="Times New Roman"/>
        </w:rPr>
        <w:t xml:space="preserve"> discrepancy</w:t>
      </w:r>
      <w:r w:rsidR="001F7158">
        <w:rPr>
          <w:rFonts w:ascii="Times New Roman" w:hAnsi="Times New Roman" w:cs="Times New Roman"/>
        </w:rPr>
        <w:t xml:space="preserve"> </w:t>
      </w:r>
      <w:r w:rsidR="0063512B">
        <w:rPr>
          <w:rFonts w:ascii="Times New Roman" w:hAnsi="Times New Roman" w:cs="Times New Roman"/>
        </w:rPr>
        <w:t xml:space="preserve">has </w:t>
      </w:r>
      <w:r w:rsidR="001F7158">
        <w:rPr>
          <w:rFonts w:ascii="Times New Roman" w:hAnsi="Times New Roman" w:cs="Times New Roman"/>
        </w:rPr>
        <w:t xml:space="preserve">also </w:t>
      </w:r>
      <w:r w:rsidR="0063512B">
        <w:rPr>
          <w:rFonts w:ascii="Times New Roman" w:hAnsi="Times New Roman" w:cs="Times New Roman"/>
        </w:rPr>
        <w:t xml:space="preserve">been </w:t>
      </w:r>
      <w:r w:rsidR="001F7158">
        <w:rPr>
          <w:rFonts w:ascii="Times New Roman" w:hAnsi="Times New Roman" w:cs="Times New Roman" w:hint="eastAsia"/>
        </w:rPr>
        <w:t>f</w:t>
      </w:r>
      <w:r w:rsidR="001F7158">
        <w:rPr>
          <w:rFonts w:ascii="Times New Roman" w:hAnsi="Times New Roman" w:cs="Times New Roman"/>
        </w:rPr>
        <w:t xml:space="preserve">ound </w:t>
      </w:r>
      <w:r w:rsidR="001F7158" w:rsidRPr="001F7158">
        <w:rPr>
          <w:rFonts w:ascii="Times New Roman" w:hAnsi="Times New Roman" w:cs="Times New Roman"/>
        </w:rPr>
        <w:t>in the Nazaré Canyon</w:t>
      </w:r>
      <w:r w:rsidR="0063512B">
        <w:rPr>
          <w:rFonts w:ascii="Times New Roman" w:hAnsi="Times New Roman" w:cs="Times New Roman"/>
        </w:rPr>
        <w:t xml:space="preserve"> </w:t>
      </w:r>
      <w:r w:rsidR="001F7158">
        <w:rPr>
          <w:rFonts w:ascii="Times New Roman" w:hAnsi="Times New Roman" w:cs="Times New Roman"/>
        </w:rPr>
        <w:t>(</w:t>
      </w:r>
      <w:r w:rsidR="0063512B">
        <w:rPr>
          <w:rFonts w:ascii="Times New Roman" w:hAnsi="Times New Roman" w:cs="Times New Roman"/>
        </w:rPr>
        <w:t>de</w:t>
      </w:r>
      <w:r w:rsidR="0063512B">
        <w:rPr>
          <w:rFonts w:ascii="Times New Roman" w:hAnsi="Times New Roman" w:cs="Times New Roman" w:hint="eastAsia"/>
        </w:rPr>
        <w:t xml:space="preserve"> St</w:t>
      </w:r>
      <w:r w:rsidR="001F7158">
        <w:rPr>
          <w:rFonts w:ascii="Times New Roman" w:hAnsi="Times New Roman" w:cs="Times New Roman"/>
        </w:rPr>
        <w:t xml:space="preserve">igter et al. </w:t>
      </w:r>
      <w:r w:rsidR="0063512B">
        <w:rPr>
          <w:rFonts w:ascii="Times New Roman" w:hAnsi="Times New Roman" w:cs="Times New Roman"/>
        </w:rPr>
        <w:t xml:space="preserve">2007), </w:t>
      </w:r>
      <w:r w:rsidR="002A5654">
        <w:rPr>
          <w:rFonts w:ascii="Times New Roman" w:hAnsi="Times New Roman" w:cs="Times New Roman"/>
        </w:rPr>
        <w:t>which may</w:t>
      </w:r>
      <w:r w:rsidR="001B1583">
        <w:rPr>
          <w:rFonts w:ascii="Times New Roman" w:hAnsi="Times New Roman" w:cs="Times New Roman"/>
        </w:rPr>
        <w:t xml:space="preserve"> be resulted from the sediment resuspension triggered by the strong bottom currents.</w:t>
      </w:r>
      <w:r w:rsidR="000C4C22">
        <w:rPr>
          <w:rFonts w:ascii="Times New Roman" w:hAnsi="Times New Roman" w:cs="Times New Roman"/>
        </w:rPr>
        <w:t xml:space="preserve"> </w:t>
      </w:r>
    </w:p>
    <w:p w:rsidR="002E7AF1" w:rsidRDefault="002E7AF1" w:rsidP="003534EB">
      <w:pPr>
        <w:rPr>
          <w:rFonts w:ascii="Times New Roman" w:hAnsi="Times New Roman" w:cs="Times New Roman"/>
          <w:b/>
        </w:rPr>
      </w:pPr>
    </w:p>
    <w:p w:rsidR="002E7AF1" w:rsidRPr="002E7AF1" w:rsidRDefault="002E7AF1" w:rsidP="003534EB">
      <w:pPr>
        <w:rPr>
          <w:rFonts w:ascii="Times New Roman" w:hAnsi="Times New Roman" w:cs="Times New Roman"/>
          <w:b/>
        </w:rPr>
      </w:pPr>
      <w:r w:rsidRPr="002E7AF1">
        <w:rPr>
          <w:rFonts w:ascii="Times New Roman" w:hAnsi="Times New Roman" w:cs="Times New Roman"/>
          <w:b/>
        </w:rPr>
        <w:t>Network characteristics</w:t>
      </w:r>
    </w:p>
    <w:p w:rsidR="00146CAA" w:rsidRDefault="00F70232" w:rsidP="003534EB">
      <w:pPr>
        <w:rPr>
          <w:rFonts w:ascii="Times New Roman" w:hAnsi="Times New Roman" w:cs="Times New Roman"/>
        </w:rPr>
      </w:pPr>
      <w:r>
        <w:rPr>
          <w:rFonts w:ascii="Times New Roman" w:hAnsi="Times New Roman" w:cs="Times New Roman"/>
        </w:rPr>
        <w:t>Indices</w:t>
      </w:r>
      <w:r>
        <w:rPr>
          <w:rFonts w:ascii="Times New Roman" w:hAnsi="Times New Roman" w:cs="Times New Roman" w:hint="eastAsia"/>
        </w:rPr>
        <w:t xml:space="preserve"> b</w:t>
      </w:r>
      <w:r>
        <w:rPr>
          <w:rFonts w:ascii="Times New Roman" w:hAnsi="Times New Roman" w:cs="Times New Roman"/>
        </w:rPr>
        <w:t>ase on</w:t>
      </w:r>
      <w:r>
        <w:rPr>
          <w:rFonts w:ascii="Times New Roman" w:hAnsi="Times New Roman" w:cs="Times New Roman" w:hint="eastAsia"/>
        </w:rPr>
        <w:t xml:space="preserve"> </w:t>
      </w:r>
      <w:r>
        <w:rPr>
          <w:rFonts w:ascii="Times New Roman" w:hAnsi="Times New Roman" w:cs="Times New Roman"/>
        </w:rPr>
        <w:t>n</w:t>
      </w:r>
      <w:r w:rsidR="00EC08B5">
        <w:rPr>
          <w:rFonts w:ascii="Times New Roman" w:hAnsi="Times New Roman" w:cs="Times New Roman" w:hint="eastAsia"/>
        </w:rPr>
        <w:t>e</w:t>
      </w:r>
      <w:r w:rsidR="00EC08B5">
        <w:rPr>
          <w:rFonts w:ascii="Times New Roman" w:hAnsi="Times New Roman" w:cs="Times New Roman"/>
        </w:rPr>
        <w:t xml:space="preserve">twork </w:t>
      </w:r>
      <w:r w:rsidRPr="00F70232">
        <w:rPr>
          <w:rFonts w:ascii="Times New Roman" w:hAnsi="Times New Roman" w:cs="Times New Roman"/>
        </w:rPr>
        <w:t xml:space="preserve">are often </w:t>
      </w:r>
      <w:r>
        <w:rPr>
          <w:rFonts w:ascii="Times New Roman" w:hAnsi="Times New Roman" w:cs="Times New Roman"/>
        </w:rPr>
        <w:t xml:space="preserve">calculated </w:t>
      </w:r>
      <w:r w:rsidRPr="00F70232">
        <w:rPr>
          <w:rFonts w:ascii="Times New Roman" w:hAnsi="Times New Roman" w:cs="Times New Roman"/>
        </w:rPr>
        <w:t xml:space="preserve">to describe </w:t>
      </w:r>
      <w:r>
        <w:rPr>
          <w:rFonts w:ascii="Times New Roman" w:hAnsi="Times New Roman" w:cs="Times New Roman"/>
        </w:rPr>
        <w:t xml:space="preserve">the function of </w:t>
      </w:r>
      <w:r w:rsidRPr="00F70232">
        <w:rPr>
          <w:rFonts w:ascii="Times New Roman" w:hAnsi="Times New Roman" w:cs="Times New Roman"/>
        </w:rPr>
        <w:t>food web</w:t>
      </w:r>
      <w:r>
        <w:rPr>
          <w:rFonts w:ascii="Times New Roman" w:hAnsi="Times New Roman" w:cs="Times New Roman"/>
        </w:rPr>
        <w:t xml:space="preserve"> </w:t>
      </w:r>
      <w:r>
        <w:rPr>
          <w:rFonts w:ascii="Times New Roman" w:hAnsi="Times New Roman" w:cs="Times New Roman"/>
        </w:rPr>
        <w:lastRenderedPageBreak/>
        <w:t>(Kone et al., 2009)</w:t>
      </w:r>
      <w:r>
        <w:rPr>
          <w:rFonts w:ascii="Times New Roman" w:hAnsi="Times New Roman" w:cs="Times New Roman" w:hint="eastAsia"/>
        </w:rPr>
        <w:t>.</w:t>
      </w:r>
      <w:r>
        <w:rPr>
          <w:rFonts w:ascii="Times New Roman" w:hAnsi="Times New Roman" w:cs="Times New Roman"/>
        </w:rPr>
        <w:t xml:space="preserve"> Here, five indices were used to estimate the food webs in GC1 and GS1. </w:t>
      </w:r>
    </w:p>
    <w:p w:rsidR="00163975" w:rsidRPr="009B4171" w:rsidRDefault="00146CAA" w:rsidP="001D3F78">
      <w:pPr>
        <w:rPr>
          <w:rFonts w:ascii="Times New Roman" w:hAnsi="Times New Roman" w:cs="Times New Roman"/>
          <w:color w:val="000000"/>
          <w:kern w:val="0"/>
        </w:rPr>
      </w:pPr>
      <m:oMath>
        <m:r>
          <w:rPr>
            <w:rFonts w:ascii="Cambria Math" w:hAnsi="Cambria Math"/>
            <w:color w:val="000000"/>
            <w:kern w:val="0"/>
          </w:rPr>
          <m:t>TST</m:t>
        </m:r>
      </m:oMath>
      <w:r w:rsidRPr="00B71911">
        <w:t xml:space="preserve"> </w:t>
      </w:r>
      <w:r w:rsidRPr="00C9629A">
        <w:rPr>
          <w:rFonts w:ascii="Times New Roman" w:hAnsi="Times New Roman" w:cs="Times New Roman"/>
        </w:rPr>
        <w:t>and</w:t>
      </w:r>
      <w:r w:rsidRPr="00B71911">
        <w:t xml:space="preserve"> </w:t>
      </w:r>
      <m:oMath>
        <m:r>
          <w:rPr>
            <w:rFonts w:ascii="Cambria Math" w:hAnsi="Cambria Math"/>
            <w:color w:val="000000"/>
            <w:kern w:val="0"/>
          </w:rPr>
          <m:t>T..</m:t>
        </m:r>
        <m:r>
          <w:rPr>
            <w:rFonts w:ascii="Cambria Math" w:hAnsi="Cambria Math" w:hint="eastAsia"/>
            <w:color w:val="000000"/>
            <w:kern w:val="0"/>
          </w:rPr>
          <m:t xml:space="preserve"> </m:t>
        </m:r>
      </m:oMath>
      <w:r>
        <w:rPr>
          <w:rFonts w:ascii="Times New Roman" w:hAnsi="Times New Roman" w:cs="Times New Roman"/>
          <w:color w:val="000000"/>
          <w:kern w:val="0"/>
        </w:rPr>
        <w:t xml:space="preserve">quantify the energy which belongs to the system as the sum of flows, as a result, the </w:t>
      </w:r>
      <w:r>
        <w:rPr>
          <w:rFonts w:ascii="Times New Roman" w:hAnsi="Times New Roman" w:cs="Times New Roman" w:hint="eastAsia"/>
          <w:color w:val="000000"/>
          <w:kern w:val="0"/>
        </w:rPr>
        <w:t>m</w:t>
      </w:r>
      <w:r>
        <w:rPr>
          <w:rFonts w:ascii="Times New Roman" w:hAnsi="Times New Roman" w:cs="Times New Roman"/>
          <w:color w:val="000000"/>
          <w:kern w:val="0"/>
        </w:rPr>
        <w:t>agnitude of these two indices directly link to the growth of the ecosystem</w:t>
      </w:r>
      <w:r>
        <w:rPr>
          <w:rFonts w:ascii="Times New Roman" w:hAnsi="Times New Roman" w:cs="Times New Roman" w:hint="eastAsia"/>
          <w:color w:val="000000"/>
          <w:kern w:val="0"/>
        </w:rPr>
        <w:t>.</w:t>
      </w:r>
      <w:r>
        <w:rPr>
          <w:rFonts w:ascii="Times New Roman" w:hAnsi="Times New Roman" w:cs="Times New Roman"/>
          <w:color w:val="000000"/>
          <w:kern w:val="0"/>
        </w:rPr>
        <w:t xml:space="preserve"> </w:t>
      </w:r>
      <w:r w:rsidR="00A245C2">
        <w:rPr>
          <w:rFonts w:ascii="Times New Roman" w:hAnsi="Times New Roman" w:cs="Times New Roman"/>
        </w:rPr>
        <w:t>The higher carbon processing in the canyon head is reflected by higher value of</w:t>
      </w:r>
      <w:r w:rsidR="00C9629A">
        <w:rPr>
          <w:rFonts w:ascii="Times New Roman" w:hAnsi="Times New Roman" w:cs="Times New Roman"/>
        </w:rPr>
        <w:t xml:space="preserve"> </w:t>
      </w:r>
      <m:oMath>
        <m:r>
          <w:rPr>
            <w:rFonts w:ascii="Cambria Math" w:hAnsi="Cambria Math"/>
            <w:color w:val="000000"/>
            <w:kern w:val="0"/>
          </w:rPr>
          <m:t>TST</m:t>
        </m:r>
      </m:oMath>
      <w:r w:rsidR="00C9629A" w:rsidRPr="00B71911">
        <w:t xml:space="preserve"> </w:t>
      </w:r>
      <w:r w:rsidR="00C9629A" w:rsidRPr="00C9629A">
        <w:rPr>
          <w:rFonts w:ascii="Times New Roman" w:hAnsi="Times New Roman" w:cs="Times New Roman"/>
        </w:rPr>
        <w:t>and</w:t>
      </w:r>
      <w:r w:rsidR="00C9629A" w:rsidRPr="00B71911">
        <w:t xml:space="preserve"> </w:t>
      </w:r>
      <m:oMath>
        <m:r>
          <w:rPr>
            <w:rFonts w:ascii="Cambria Math" w:hAnsi="Cambria Math"/>
            <w:color w:val="000000"/>
            <w:kern w:val="0"/>
          </w:rPr>
          <m:t>T..</m:t>
        </m:r>
      </m:oMath>
      <w:r w:rsidR="00A245C2">
        <w:rPr>
          <w:rFonts w:ascii="Times New Roman" w:hAnsi="Times New Roman" w:cs="Times New Roman"/>
          <w:color w:val="000000"/>
          <w:kern w:val="0"/>
        </w:rPr>
        <w:t xml:space="preserve">, which represent the total amount of energy flow through </w:t>
      </w:r>
      <w:r w:rsidR="00D11D62">
        <w:rPr>
          <w:rFonts w:ascii="Times New Roman" w:hAnsi="Times New Roman" w:cs="Times New Roman"/>
          <w:color w:val="000000"/>
          <w:kern w:val="0"/>
        </w:rPr>
        <w:t>the system</w:t>
      </w:r>
      <w:r w:rsidR="00A245C2">
        <w:rPr>
          <w:rFonts w:ascii="Times New Roman" w:hAnsi="Times New Roman" w:cs="Times New Roman"/>
          <w:color w:val="000000"/>
          <w:kern w:val="0"/>
        </w:rPr>
        <w:t xml:space="preserve"> (Ulanowicz, </w:t>
      </w:r>
      <w:r w:rsidR="00D54FB5">
        <w:rPr>
          <w:rFonts w:ascii="Times New Roman" w:hAnsi="Times New Roman" w:cs="Times New Roman"/>
          <w:color w:val="000000"/>
          <w:kern w:val="0"/>
        </w:rPr>
        <w:t>1986</w:t>
      </w:r>
      <w:r w:rsidR="002E7AF1">
        <w:rPr>
          <w:rFonts w:ascii="Times New Roman" w:hAnsi="Times New Roman" w:cs="Times New Roman"/>
          <w:color w:val="000000"/>
          <w:kern w:val="0"/>
        </w:rPr>
        <w:t>;</w:t>
      </w:r>
      <w:r w:rsidR="00D54FB5">
        <w:rPr>
          <w:rFonts w:ascii="Times New Roman" w:hAnsi="Times New Roman" w:cs="Times New Roman"/>
          <w:color w:val="000000"/>
          <w:kern w:val="0"/>
        </w:rPr>
        <w:t xml:space="preserve"> </w:t>
      </w:r>
      <w:r w:rsidR="00A245C2">
        <w:rPr>
          <w:rFonts w:ascii="Times New Roman" w:hAnsi="Times New Roman" w:cs="Times New Roman"/>
          <w:color w:val="000000"/>
          <w:kern w:val="0"/>
        </w:rPr>
        <w:t>2004)</w:t>
      </w:r>
      <w:r w:rsidR="0066119F">
        <w:rPr>
          <w:rFonts w:ascii="Times New Roman" w:hAnsi="Times New Roman" w:cs="Times New Roman"/>
          <w:color w:val="000000"/>
          <w:kern w:val="0"/>
        </w:rPr>
        <w:t xml:space="preserve">. </w:t>
      </w:r>
      <w:r w:rsidR="007C275B">
        <w:rPr>
          <w:rFonts w:ascii="Times New Roman" w:hAnsi="Times New Roman" w:cs="Times New Roman"/>
          <w:color w:val="000000"/>
          <w:kern w:val="0"/>
        </w:rPr>
        <w:t>However,</w:t>
      </w:r>
      <w:r w:rsidR="00163975">
        <w:rPr>
          <w:rFonts w:ascii="Times New Roman" w:hAnsi="Times New Roman" w:cs="Times New Roman"/>
          <w:color w:val="000000"/>
          <w:kern w:val="0"/>
        </w:rPr>
        <w:t xml:space="preserve"> the</w:t>
      </w:r>
      <w:r w:rsidR="007C275B">
        <w:rPr>
          <w:rFonts w:ascii="Times New Roman" w:hAnsi="Times New Roman" w:cs="Times New Roman"/>
          <w:color w:val="000000"/>
          <w:kern w:val="0"/>
        </w:rPr>
        <w:t xml:space="preserve"> </w:t>
      </w:r>
      <w:r w:rsidR="002822A2">
        <w:rPr>
          <w:rFonts w:ascii="Times New Roman" w:hAnsi="Times New Roman" w:cs="Times New Roman"/>
          <w:color w:val="000000"/>
          <w:kern w:val="0"/>
        </w:rPr>
        <w:t>growth cannot provide detail about how the material is</w:t>
      </w:r>
      <w:r w:rsidR="004C7266">
        <w:rPr>
          <w:rFonts w:ascii="Times New Roman" w:hAnsi="Times New Roman" w:cs="Times New Roman"/>
          <w:color w:val="000000"/>
          <w:kern w:val="0"/>
        </w:rPr>
        <w:t xml:space="preserve"> distributed within the system, </w:t>
      </w:r>
      <w:r w:rsidR="004C7266" w:rsidRPr="004C7266">
        <w:rPr>
          <w:rFonts w:ascii="Times New Roman" w:hAnsi="Times New Roman" w:cs="Times New Roman"/>
          <w:color w:val="000000"/>
          <w:kern w:val="0"/>
        </w:rPr>
        <w:t>in other words</w:t>
      </w:r>
      <w:r w:rsidR="00163975" w:rsidRPr="004C7266">
        <w:rPr>
          <w:rFonts w:ascii="Times New Roman" w:hAnsi="Times New Roman" w:cs="Times New Roman"/>
          <w:color w:val="000000"/>
          <w:kern w:val="0"/>
        </w:rPr>
        <w:t>,</w:t>
      </w:r>
      <w:r w:rsidR="00163975">
        <w:rPr>
          <w:rFonts w:ascii="Times New Roman" w:hAnsi="Times New Roman" w:cs="Times New Roman"/>
          <w:color w:val="000000"/>
          <w:kern w:val="0"/>
        </w:rPr>
        <w:t xml:space="preserve"> two systems with totally different structure may be featured with the same </w:t>
      </w:r>
      <m:oMath>
        <m:r>
          <w:rPr>
            <w:rFonts w:ascii="Cambria Math" w:hAnsi="Cambria Math"/>
            <w:color w:val="000000"/>
            <w:kern w:val="0"/>
          </w:rPr>
          <m:t>TST</m:t>
        </m:r>
      </m:oMath>
      <w:r w:rsidR="00163975">
        <w:rPr>
          <w:rFonts w:ascii="Times New Roman" w:hAnsi="Times New Roman" w:cs="Times New Roman" w:hint="eastAsia"/>
          <w:color w:val="000000"/>
          <w:kern w:val="0"/>
        </w:rPr>
        <w:t xml:space="preserve"> (</w:t>
      </w:r>
      <w:r w:rsidR="00163975">
        <w:rPr>
          <w:rFonts w:ascii="Times New Roman" w:hAnsi="Times New Roman" w:cs="Times New Roman"/>
          <w:color w:val="000000"/>
          <w:kern w:val="0"/>
        </w:rPr>
        <w:t>Bodini, 2012).</w:t>
      </w:r>
      <w:r w:rsidR="00B40808">
        <w:rPr>
          <w:rFonts w:ascii="Times New Roman" w:hAnsi="Times New Roman" w:cs="Times New Roman"/>
          <w:color w:val="000000"/>
          <w:kern w:val="0"/>
        </w:rPr>
        <w:t xml:space="preserve"> </w:t>
      </w:r>
      <w:r w:rsidR="0070712A">
        <w:rPr>
          <w:rFonts w:ascii="Times New Roman" w:hAnsi="Times New Roman" w:cs="Times New Roman"/>
          <w:color w:val="000000"/>
          <w:kern w:val="0"/>
        </w:rPr>
        <w:t>Therefore, two</w:t>
      </w:r>
      <w:r>
        <w:rPr>
          <w:rFonts w:ascii="Times New Roman" w:hAnsi="Times New Roman" w:cs="Times New Roman" w:hint="eastAsia"/>
          <w:color w:val="000000"/>
          <w:kern w:val="0"/>
        </w:rPr>
        <w:t xml:space="preserve"> </w:t>
      </w:r>
      <w:r>
        <w:rPr>
          <w:rFonts w:ascii="Times New Roman" w:hAnsi="Times New Roman" w:cs="Times New Roman"/>
          <w:color w:val="000000"/>
          <w:kern w:val="0"/>
        </w:rPr>
        <w:t>other ind</w:t>
      </w:r>
      <w:r w:rsidR="00167BD5">
        <w:rPr>
          <w:rFonts w:ascii="Times New Roman" w:hAnsi="Times New Roman" w:cs="Times New Roman"/>
          <w:color w:val="000000"/>
          <w:kern w:val="0"/>
        </w:rPr>
        <w:t>ex</w:t>
      </w:r>
      <w:r>
        <w:rPr>
          <w:rFonts w:ascii="Times New Roman" w:hAnsi="Times New Roman" w:cs="Times New Roman"/>
          <w:color w:val="000000"/>
          <w:kern w:val="0"/>
        </w:rPr>
        <w:t xml:space="preserve"> </w:t>
      </w:r>
      <w:r w:rsidR="00167BD5">
        <w:rPr>
          <w:rFonts w:ascii="Times New Roman" w:hAnsi="Times New Roman" w:cs="Times New Roman"/>
          <w:color w:val="000000"/>
          <w:kern w:val="0"/>
        </w:rPr>
        <w:t xml:space="preserve">analyses </w:t>
      </w:r>
      <w:r>
        <w:rPr>
          <w:rFonts w:ascii="Times New Roman" w:hAnsi="Times New Roman" w:cs="Times New Roman"/>
          <w:color w:val="000000"/>
          <w:kern w:val="0"/>
        </w:rPr>
        <w:t>were c</w:t>
      </w:r>
      <w:r w:rsidR="00167BD5">
        <w:rPr>
          <w:rFonts w:ascii="Times New Roman" w:hAnsi="Times New Roman" w:cs="Times New Roman"/>
          <w:color w:val="000000"/>
          <w:kern w:val="0"/>
        </w:rPr>
        <w:t xml:space="preserve">arried out </w:t>
      </w:r>
      <w:r w:rsidR="00905BC5">
        <w:rPr>
          <w:rFonts w:ascii="Times New Roman" w:hAnsi="Times New Roman" w:cs="Times New Roman"/>
          <w:color w:val="000000"/>
          <w:kern w:val="0"/>
        </w:rPr>
        <w:t>to</w:t>
      </w:r>
      <w:r w:rsidR="00EB086B">
        <w:rPr>
          <w:rFonts w:ascii="Times New Roman" w:hAnsi="Times New Roman" w:cs="Times New Roman"/>
          <w:color w:val="000000"/>
          <w:kern w:val="0"/>
        </w:rPr>
        <w:t xml:space="preserve"> estimate the maturity of the two ecosystems. </w:t>
      </w:r>
      <w:r w:rsidR="00E1265B">
        <w:rPr>
          <w:rFonts w:ascii="Times New Roman" w:hAnsi="Times New Roman" w:cs="Times New Roman" w:hint="eastAsia"/>
          <w:color w:val="000000"/>
          <w:kern w:val="0"/>
        </w:rPr>
        <w:t>Ac</w:t>
      </w:r>
      <w:r w:rsidR="00E1265B">
        <w:rPr>
          <w:rFonts w:ascii="Times New Roman" w:hAnsi="Times New Roman" w:cs="Times New Roman"/>
          <w:color w:val="000000"/>
          <w:kern w:val="0"/>
        </w:rPr>
        <w:t xml:space="preserve">cording to Odum (1969), a mature ecosystem should </w:t>
      </w:r>
      <w:r w:rsidR="00E1265B">
        <w:rPr>
          <w:rFonts w:ascii="Times New Roman" w:hAnsi="Times New Roman" w:cs="Times New Roman" w:hint="eastAsia"/>
          <w:color w:val="000000"/>
          <w:kern w:val="0"/>
        </w:rPr>
        <w:t>i</w:t>
      </w:r>
      <w:r w:rsidR="00E1265B">
        <w:rPr>
          <w:rFonts w:ascii="Times New Roman" w:hAnsi="Times New Roman" w:cs="Times New Roman"/>
          <w:color w:val="000000"/>
          <w:kern w:val="0"/>
        </w:rPr>
        <w:t xml:space="preserve">nvolve a higher information </w:t>
      </w:r>
      <w:r w:rsidR="00A229BC">
        <w:rPr>
          <w:rFonts w:ascii="Times New Roman" w:hAnsi="Times New Roman" w:cs="Times New Roman"/>
          <w:color w:val="000000"/>
          <w:kern w:val="0"/>
        </w:rPr>
        <w:t>content, high biomass and a high capacity to seize and hold the nutrients for cycling within the system.</w:t>
      </w:r>
      <w:r w:rsidR="0080583D">
        <w:rPr>
          <w:rFonts w:ascii="Times New Roman" w:hAnsi="Times New Roman" w:cs="Times New Roman"/>
          <w:color w:val="000000"/>
          <w:kern w:val="0"/>
        </w:rPr>
        <w:t xml:space="preserve"> </w:t>
      </w:r>
      <w:r w:rsidR="00BC7355">
        <w:rPr>
          <w:rFonts w:ascii="Times New Roman" w:hAnsi="Times New Roman" w:cs="Times New Roman"/>
          <w:color w:val="000000"/>
          <w:kern w:val="0"/>
        </w:rPr>
        <w:t>T</w:t>
      </w:r>
      <w:r w:rsidR="003534EB" w:rsidRPr="00B40808">
        <w:rPr>
          <w:rFonts w:ascii="Times New Roman" w:hAnsi="Times New Roman" w:cs="Times New Roman"/>
        </w:rPr>
        <w:t>he Finn cycling index</w:t>
      </w:r>
      <w:r w:rsidR="00127490" w:rsidRPr="00127490">
        <w:rPr>
          <w:rFonts w:ascii="Times New Roman" w:hAnsi="Times New Roman" w:cs="Times New Roman"/>
          <w:color w:val="000000"/>
          <w:kern w:val="0"/>
        </w:rPr>
        <w:t>(</w:t>
      </w:r>
      <m:oMath>
        <m:r>
          <w:rPr>
            <w:rFonts w:ascii="Cambria Math" w:hAnsi="Cambria Math"/>
            <w:color w:val="000000"/>
            <w:kern w:val="0"/>
          </w:rPr>
          <m:t>FCI</m:t>
        </m:r>
      </m:oMath>
      <w:r w:rsidR="00127490" w:rsidRPr="00127490">
        <w:rPr>
          <w:rFonts w:ascii="Times New Roman" w:hAnsi="Times New Roman" w:cs="Times New Roman"/>
          <w:color w:val="000000"/>
          <w:kern w:val="0"/>
        </w:rPr>
        <w:t>)</w:t>
      </w:r>
      <w:r w:rsidR="00FA7C0C">
        <w:rPr>
          <w:rFonts w:ascii="Times New Roman" w:hAnsi="Times New Roman" w:cs="Times New Roman"/>
          <w:color w:val="000000"/>
          <w:kern w:val="0"/>
        </w:rPr>
        <w:t xml:space="preserve">, </w:t>
      </w:r>
      <w:r w:rsidR="00127490">
        <w:rPr>
          <w:rFonts w:ascii="Times New Roman" w:hAnsi="Times New Roman" w:cs="Times New Roman"/>
          <w:color w:val="000000"/>
          <w:kern w:val="0"/>
        </w:rPr>
        <w:t>developed by Finn (1976)</w:t>
      </w:r>
      <w:r w:rsidR="00FA7C0C">
        <w:rPr>
          <w:rFonts w:ascii="Times New Roman" w:hAnsi="Times New Roman" w:cs="Times New Roman"/>
          <w:color w:val="000000"/>
          <w:kern w:val="0"/>
        </w:rPr>
        <w:t>,</w:t>
      </w:r>
      <w:r w:rsidR="00127490">
        <w:rPr>
          <w:rFonts w:ascii="Times New Roman" w:hAnsi="Times New Roman" w:cs="Times New Roman"/>
          <w:color w:val="000000"/>
          <w:kern w:val="0"/>
        </w:rPr>
        <w:t xml:space="preserve"> measure</w:t>
      </w:r>
      <w:r w:rsidR="00650132">
        <w:rPr>
          <w:rFonts w:ascii="Times New Roman" w:hAnsi="Times New Roman" w:cs="Times New Roman" w:hint="eastAsia"/>
        </w:rPr>
        <w:t xml:space="preserve"> </w:t>
      </w:r>
      <w:r w:rsidR="00127490" w:rsidRPr="00B40808">
        <w:rPr>
          <w:rFonts w:ascii="Times New Roman" w:hAnsi="Times New Roman" w:cs="Times New Roman"/>
        </w:rPr>
        <w:t xml:space="preserve">the fraction of total carbon cycling </w:t>
      </w:r>
      <w:r w:rsidR="00127490">
        <w:rPr>
          <w:rFonts w:ascii="Times New Roman" w:hAnsi="Times New Roman" w:cs="Times New Roman"/>
        </w:rPr>
        <w:t>generated by recycling processes.</w:t>
      </w:r>
      <w:r w:rsidR="00AB5C93">
        <w:rPr>
          <w:rFonts w:ascii="Times New Roman" w:hAnsi="Times New Roman" w:cs="Times New Roman"/>
        </w:rPr>
        <w:t xml:space="preserve"> Our data show that the </w:t>
      </w:r>
      <m:oMath>
        <m:r>
          <w:rPr>
            <w:rFonts w:ascii="Cambria Math" w:hAnsi="Cambria Math"/>
            <w:color w:val="000000"/>
            <w:kern w:val="0"/>
          </w:rPr>
          <m:t>FCI</m:t>
        </m:r>
      </m:oMath>
      <w:r w:rsidR="00AB5C93">
        <w:rPr>
          <w:rFonts w:ascii="Times New Roman" w:hAnsi="Times New Roman" w:cs="Times New Roman" w:hint="eastAsia"/>
          <w:color w:val="000000"/>
          <w:kern w:val="0"/>
        </w:rPr>
        <w:t xml:space="preserve"> </w:t>
      </w:r>
      <w:r w:rsidR="009D1172">
        <w:rPr>
          <w:rFonts w:ascii="Times New Roman" w:hAnsi="Times New Roman" w:cs="Times New Roman"/>
          <w:color w:val="000000"/>
          <w:kern w:val="0"/>
        </w:rPr>
        <w:t xml:space="preserve">is </w:t>
      </w:r>
      <w:r w:rsidR="00AB5C93">
        <w:rPr>
          <w:rFonts w:ascii="Times New Roman" w:hAnsi="Times New Roman" w:cs="Times New Roman"/>
          <w:color w:val="000000"/>
          <w:kern w:val="0"/>
        </w:rPr>
        <w:t xml:space="preserve">marginally greater in GS1 than in GC1, </w:t>
      </w:r>
      <w:r w:rsidR="00C35665">
        <w:rPr>
          <w:rFonts w:ascii="Times New Roman" w:hAnsi="Times New Roman" w:cs="Times New Roman" w:hint="eastAsia"/>
          <w:color w:val="000000"/>
          <w:kern w:val="0"/>
        </w:rPr>
        <w:t>i</w:t>
      </w:r>
      <w:r w:rsidR="00C35665">
        <w:rPr>
          <w:rFonts w:ascii="Times New Roman" w:hAnsi="Times New Roman" w:cs="Times New Roman"/>
          <w:color w:val="000000"/>
          <w:kern w:val="0"/>
        </w:rPr>
        <w:t>n</w:t>
      </w:r>
      <w:r w:rsidR="006F4960">
        <w:rPr>
          <w:rFonts w:ascii="Times New Roman" w:hAnsi="Times New Roman" w:cs="Times New Roman"/>
          <w:color w:val="000000"/>
          <w:kern w:val="0"/>
        </w:rPr>
        <w:t xml:space="preserve">dicating </w:t>
      </w:r>
      <w:r w:rsidR="009D1172">
        <w:rPr>
          <w:rFonts w:ascii="Times New Roman" w:hAnsi="Times New Roman" w:cs="Times New Roman"/>
          <w:color w:val="000000"/>
          <w:kern w:val="0"/>
        </w:rPr>
        <w:t xml:space="preserve">that the slope system with a higher </w:t>
      </w:r>
      <w:r w:rsidR="009D1172">
        <w:rPr>
          <w:rFonts w:ascii="Times New Roman" w:hAnsi="Times New Roman" w:cs="Times New Roman" w:hint="eastAsia"/>
          <w:color w:val="000000"/>
          <w:kern w:val="0"/>
        </w:rPr>
        <w:t>d</w:t>
      </w:r>
      <w:r w:rsidR="009D1172">
        <w:rPr>
          <w:rFonts w:ascii="Times New Roman" w:hAnsi="Times New Roman" w:cs="Times New Roman"/>
          <w:color w:val="000000"/>
          <w:kern w:val="0"/>
        </w:rPr>
        <w:t xml:space="preserve">egree of energy recycling is a mature ecosystem </w:t>
      </w:r>
      <w:r w:rsidR="009D1172">
        <w:rPr>
          <w:rFonts w:ascii="Times New Roman" w:hAnsi="Times New Roman" w:cs="Times New Roman" w:hint="eastAsia"/>
          <w:color w:val="000000"/>
          <w:kern w:val="0"/>
        </w:rPr>
        <w:t>w</w:t>
      </w:r>
      <w:r w:rsidR="009D1172">
        <w:rPr>
          <w:rFonts w:ascii="Times New Roman" w:hAnsi="Times New Roman" w:cs="Times New Roman"/>
          <w:color w:val="000000"/>
          <w:kern w:val="0"/>
        </w:rPr>
        <w:t>hich develops completed routes for nutrient conservation (Odum, 1969)</w:t>
      </w:r>
      <w:r w:rsidR="001D3F78">
        <w:rPr>
          <w:rFonts w:ascii="Times New Roman" w:hAnsi="Times New Roman" w:cs="Times New Roman"/>
          <w:color w:val="000000"/>
          <w:kern w:val="0"/>
        </w:rPr>
        <w:t xml:space="preserve"> in contr</w:t>
      </w:r>
      <w:r w:rsidR="00AB2E05">
        <w:rPr>
          <w:rFonts w:ascii="Times New Roman" w:hAnsi="Times New Roman" w:cs="Times New Roman"/>
          <w:color w:val="000000"/>
          <w:kern w:val="0"/>
        </w:rPr>
        <w:t>ast to the canyon system</w:t>
      </w:r>
      <w:r w:rsidR="009D1172">
        <w:rPr>
          <w:rFonts w:ascii="Times New Roman" w:hAnsi="Times New Roman" w:cs="Times New Roman"/>
          <w:color w:val="000000"/>
          <w:kern w:val="0"/>
        </w:rPr>
        <w:t>.</w:t>
      </w:r>
      <w:r w:rsidR="009B4171">
        <w:rPr>
          <w:rFonts w:ascii="Times New Roman" w:hAnsi="Times New Roman" w:cs="Times New Roman"/>
          <w:color w:val="000000"/>
          <w:kern w:val="0"/>
        </w:rPr>
        <w:t xml:space="preserve"> </w:t>
      </w:r>
      <w:r w:rsidR="004B325C">
        <w:rPr>
          <w:rFonts w:ascii="Times New Roman" w:hAnsi="Times New Roman" w:cs="Times New Roman"/>
          <w:color w:val="000000"/>
          <w:kern w:val="0"/>
        </w:rPr>
        <w:t xml:space="preserve">Moreover, </w:t>
      </w:r>
      <w:r w:rsidR="009B4171">
        <w:rPr>
          <w:rFonts w:ascii="Times New Roman" w:hAnsi="Times New Roman" w:cs="Times New Roman"/>
          <w:color w:val="000000"/>
          <w:kern w:val="0"/>
        </w:rPr>
        <w:t xml:space="preserve">the </w:t>
      </w:r>
      <w:r w:rsidR="009B4171">
        <w:rPr>
          <w:rFonts w:ascii="Times New Roman" w:hAnsi="Times New Roman" w:cs="Times New Roman" w:hint="eastAsia"/>
          <w:color w:val="000000"/>
          <w:kern w:val="0"/>
        </w:rPr>
        <w:t>r</w:t>
      </w:r>
      <w:r w:rsidR="009B4171">
        <w:rPr>
          <w:rFonts w:ascii="Times New Roman" w:hAnsi="Times New Roman" w:cs="Times New Roman"/>
          <w:color w:val="000000"/>
          <w:kern w:val="0"/>
        </w:rPr>
        <w:t xml:space="preserve">elatively higher biodiversity </w:t>
      </w:r>
      <w:r w:rsidR="009B4171" w:rsidRPr="0013359A">
        <w:rPr>
          <w:rFonts w:ascii="Times New Roman" w:hAnsi="Times New Roman" w:cs="Times New Roman"/>
          <w:color w:val="000000"/>
          <w:kern w:val="0"/>
        </w:rPr>
        <w:t>(</w:t>
      </w:r>
      <w:r w:rsidR="0013359A" w:rsidRPr="0013359A">
        <w:rPr>
          <w:rFonts w:ascii="Times New Roman" w:hAnsi="Times New Roman" w:cs="Times New Roman" w:hint="eastAsia"/>
          <w:color w:val="000000"/>
          <w:kern w:val="0"/>
        </w:rPr>
        <w:t>F</w:t>
      </w:r>
      <w:r w:rsidR="009B4171" w:rsidRPr="0013359A">
        <w:rPr>
          <w:rFonts w:ascii="Times New Roman" w:hAnsi="Times New Roman" w:cs="Times New Roman"/>
          <w:color w:val="000000"/>
          <w:kern w:val="0"/>
        </w:rPr>
        <w:t>ig.</w:t>
      </w:r>
      <w:r w:rsidR="0013359A" w:rsidRPr="0013359A">
        <w:rPr>
          <w:rFonts w:ascii="Times New Roman" w:hAnsi="Times New Roman" w:cs="Times New Roman" w:hint="eastAsia"/>
          <w:color w:val="000000"/>
          <w:kern w:val="0"/>
        </w:rPr>
        <w:t xml:space="preserve"> 7 a</w:t>
      </w:r>
      <w:r w:rsidR="0013359A" w:rsidRPr="0013359A">
        <w:rPr>
          <w:rFonts w:ascii="Times New Roman" w:hAnsi="Times New Roman" w:cs="Times New Roman"/>
          <w:color w:val="000000"/>
          <w:kern w:val="0"/>
        </w:rPr>
        <w:t>nd Fig. 9</w:t>
      </w:r>
      <w:r w:rsidR="009B4171" w:rsidRPr="0013359A">
        <w:rPr>
          <w:rFonts w:ascii="Times New Roman" w:hAnsi="Times New Roman" w:cs="Times New Roman"/>
          <w:color w:val="000000"/>
          <w:kern w:val="0"/>
        </w:rPr>
        <w:t>)</w:t>
      </w:r>
      <w:r w:rsidR="009B4171">
        <w:rPr>
          <w:rFonts w:ascii="Times New Roman" w:hAnsi="Times New Roman" w:cs="Times New Roman"/>
          <w:color w:val="000000"/>
          <w:kern w:val="0"/>
        </w:rPr>
        <w:t xml:space="preserve"> and carbon stock</w:t>
      </w:r>
      <w:r w:rsidR="003B4A13">
        <w:rPr>
          <w:rFonts w:ascii="Times New Roman" w:hAnsi="Times New Roman" w:cs="Times New Roman"/>
          <w:color w:val="000000"/>
          <w:kern w:val="0"/>
        </w:rPr>
        <w:t xml:space="preserve"> </w:t>
      </w:r>
      <w:r w:rsidR="003B4A13" w:rsidRPr="0013359A">
        <w:rPr>
          <w:rFonts w:ascii="Times New Roman" w:hAnsi="Times New Roman" w:cs="Times New Roman"/>
          <w:color w:val="000000"/>
          <w:kern w:val="0"/>
        </w:rPr>
        <w:t>(</w:t>
      </w:r>
      <w:r w:rsidR="0013359A" w:rsidRPr="0013359A">
        <w:rPr>
          <w:rFonts w:ascii="Times New Roman" w:hAnsi="Times New Roman" w:cs="Times New Roman"/>
          <w:color w:val="000000"/>
          <w:kern w:val="0"/>
        </w:rPr>
        <w:t>T</w:t>
      </w:r>
      <w:r w:rsidR="003B4A13" w:rsidRPr="0013359A">
        <w:rPr>
          <w:rFonts w:ascii="Times New Roman" w:hAnsi="Times New Roman" w:cs="Times New Roman"/>
          <w:color w:val="000000"/>
          <w:kern w:val="0"/>
        </w:rPr>
        <w:t>ab</w:t>
      </w:r>
      <w:r w:rsidR="0013359A" w:rsidRPr="0013359A">
        <w:rPr>
          <w:rFonts w:ascii="Times New Roman" w:hAnsi="Times New Roman" w:cs="Times New Roman"/>
          <w:color w:val="000000"/>
          <w:kern w:val="0"/>
        </w:rPr>
        <w:t>le 5</w:t>
      </w:r>
      <w:r w:rsidR="003B4A13" w:rsidRPr="0013359A">
        <w:rPr>
          <w:rFonts w:ascii="Times New Roman" w:hAnsi="Times New Roman" w:cs="Times New Roman"/>
          <w:color w:val="000000"/>
          <w:kern w:val="0"/>
        </w:rPr>
        <w:t>)</w:t>
      </w:r>
      <w:r w:rsidR="009B4171">
        <w:rPr>
          <w:rFonts w:ascii="Times New Roman" w:hAnsi="Times New Roman" w:cs="Times New Roman"/>
          <w:color w:val="000000"/>
          <w:kern w:val="0"/>
        </w:rPr>
        <w:t xml:space="preserve"> in GS1</w:t>
      </w:r>
      <w:r w:rsidR="004B325C">
        <w:rPr>
          <w:rFonts w:ascii="Times New Roman" w:hAnsi="Times New Roman" w:cs="Times New Roman"/>
          <w:color w:val="000000"/>
          <w:kern w:val="0"/>
        </w:rPr>
        <w:t xml:space="preserve"> also shows that the ecosystem on the slope is more mature than the frequently disturbed canyon</w:t>
      </w:r>
      <w:r w:rsidR="00E71514">
        <w:rPr>
          <w:rFonts w:ascii="Times New Roman" w:hAnsi="Times New Roman" w:cs="Times New Roman"/>
          <w:color w:val="000000"/>
          <w:kern w:val="0"/>
        </w:rPr>
        <w:t>, which mainly dominated by the bacteria-related process</w:t>
      </w:r>
      <w:r w:rsidR="004B325C">
        <w:rPr>
          <w:rFonts w:ascii="Times New Roman" w:hAnsi="Times New Roman" w:cs="Times New Roman"/>
          <w:color w:val="000000"/>
          <w:kern w:val="0"/>
        </w:rPr>
        <w:t>.</w:t>
      </w:r>
      <w:r w:rsidR="00970902">
        <w:rPr>
          <w:rFonts w:ascii="Times New Roman" w:hAnsi="Times New Roman" w:cs="Times New Roman"/>
          <w:color w:val="000000"/>
          <w:kern w:val="0"/>
        </w:rPr>
        <w:t xml:space="preserve"> The low carbon stock of larger size faunal group in GC1 </w:t>
      </w:r>
      <w:r w:rsidR="00943751">
        <w:rPr>
          <w:rFonts w:ascii="Times New Roman" w:hAnsi="Times New Roman" w:cs="Times New Roman"/>
          <w:color w:val="000000"/>
          <w:kern w:val="0"/>
        </w:rPr>
        <w:t>indicates that</w:t>
      </w:r>
      <w:r w:rsidR="00943751">
        <w:rPr>
          <w:rFonts w:ascii="Times New Roman" w:hAnsi="Times New Roman" w:cs="Times New Roman" w:hint="eastAsia"/>
          <w:color w:val="000000"/>
          <w:kern w:val="0"/>
        </w:rPr>
        <w:t xml:space="preserve"> </w:t>
      </w:r>
      <w:r w:rsidR="00943751">
        <w:rPr>
          <w:rFonts w:ascii="Times New Roman" w:hAnsi="Times New Roman" w:cs="Times New Roman"/>
          <w:color w:val="000000"/>
          <w:kern w:val="0"/>
        </w:rPr>
        <w:t>the head of Gaping Submarine Canyon</w:t>
      </w:r>
      <w:r w:rsidR="009E3CCC">
        <w:rPr>
          <w:rFonts w:ascii="Times New Roman" w:hAnsi="Times New Roman" w:cs="Times New Roman"/>
          <w:color w:val="000000"/>
          <w:kern w:val="0"/>
        </w:rPr>
        <w:t xml:space="preserve"> </w:t>
      </w:r>
      <w:r w:rsidR="00943751">
        <w:rPr>
          <w:rFonts w:ascii="Times New Roman" w:hAnsi="Times New Roman" w:cs="Times New Roman"/>
          <w:color w:val="000000"/>
          <w:kern w:val="0"/>
        </w:rPr>
        <w:t xml:space="preserve">is </w:t>
      </w:r>
      <w:r w:rsidR="009E3CCC">
        <w:rPr>
          <w:rFonts w:ascii="Times New Roman" w:hAnsi="Times New Roman" w:cs="Times New Roman"/>
          <w:color w:val="000000"/>
          <w:kern w:val="0"/>
        </w:rPr>
        <w:t>a fragile ecosystem</w:t>
      </w:r>
      <w:r w:rsidR="00943751" w:rsidRPr="00943751">
        <w:rPr>
          <w:rFonts w:ascii="Times New Roman" w:hAnsi="Times New Roman" w:cs="Times New Roman"/>
          <w:color w:val="000000"/>
          <w:kern w:val="0"/>
        </w:rPr>
        <w:t xml:space="preserve"> </w:t>
      </w:r>
      <w:r w:rsidR="00943751">
        <w:rPr>
          <w:rFonts w:ascii="Times New Roman" w:hAnsi="Times New Roman" w:cs="Times New Roman"/>
          <w:color w:val="000000"/>
          <w:kern w:val="0"/>
        </w:rPr>
        <w:t>under the severe physical perturbation</w:t>
      </w:r>
      <w:r w:rsidR="009E3CCC">
        <w:rPr>
          <w:rFonts w:ascii="Times New Roman" w:hAnsi="Times New Roman" w:cs="Times New Roman"/>
          <w:color w:val="000000"/>
          <w:kern w:val="0"/>
        </w:rPr>
        <w:t xml:space="preserve"> as reported in Liao et al. (2017) and Liao et al. (2020). </w:t>
      </w:r>
      <w:r w:rsidR="0048103E">
        <w:rPr>
          <w:rFonts w:ascii="Times New Roman" w:hAnsi="Times New Roman" w:cs="Times New Roman" w:hint="eastAsia"/>
          <w:color w:val="000000"/>
          <w:kern w:val="0"/>
        </w:rPr>
        <w:t>T</w:t>
      </w:r>
      <w:r w:rsidR="009D27FB">
        <w:rPr>
          <w:rFonts w:ascii="Times New Roman" w:hAnsi="Times New Roman" w:cs="Times New Roman"/>
          <w:color w:val="000000"/>
          <w:kern w:val="0"/>
        </w:rPr>
        <w:t>he</w:t>
      </w:r>
      <m:oMath>
        <m:r>
          <w:rPr>
            <w:rFonts w:ascii="Cambria Math" w:hAnsi="Cambria Math"/>
            <w:color w:val="000000"/>
            <w:kern w:val="0"/>
          </w:rPr>
          <m:t xml:space="preserve"> FCI</m:t>
        </m:r>
      </m:oMath>
      <w:r w:rsidR="009D27FB">
        <w:rPr>
          <w:rFonts w:ascii="Times New Roman" w:hAnsi="Times New Roman" w:cs="Times New Roman" w:hint="eastAsia"/>
          <w:color w:val="000000"/>
          <w:kern w:val="0"/>
        </w:rPr>
        <w:t xml:space="preserve"> </w:t>
      </w:r>
      <w:r w:rsidR="009D27FB">
        <w:rPr>
          <w:rFonts w:ascii="Times New Roman" w:hAnsi="Times New Roman" w:cs="Times New Roman"/>
          <w:color w:val="000000"/>
          <w:kern w:val="0"/>
        </w:rPr>
        <w:t xml:space="preserve">in different sections of Nazare canyon </w:t>
      </w:r>
      <w:r w:rsidR="002F46CB">
        <w:rPr>
          <w:rFonts w:ascii="Times New Roman" w:hAnsi="Times New Roman" w:cs="Times New Roman"/>
          <w:color w:val="000000"/>
          <w:kern w:val="0"/>
        </w:rPr>
        <w:t>and previously reported benthic ecosystem</w:t>
      </w:r>
      <w:r w:rsidR="002F15A2">
        <w:rPr>
          <w:rFonts w:ascii="Times New Roman" w:hAnsi="Times New Roman" w:cs="Times New Roman"/>
          <w:color w:val="000000"/>
          <w:kern w:val="0"/>
        </w:rPr>
        <w:t>s</w:t>
      </w:r>
      <w:r w:rsidR="002F46CB">
        <w:rPr>
          <w:rFonts w:ascii="Times New Roman" w:hAnsi="Times New Roman" w:cs="Times New Roman"/>
          <w:color w:val="000000"/>
          <w:kern w:val="0"/>
        </w:rPr>
        <w:t xml:space="preserve"> </w:t>
      </w:r>
      <w:r w:rsidR="004B2799">
        <w:rPr>
          <w:rFonts w:ascii="Times New Roman" w:hAnsi="Times New Roman" w:cs="Times New Roman" w:hint="eastAsia"/>
          <w:color w:val="000000"/>
          <w:kern w:val="0"/>
        </w:rPr>
        <w:t>a</w:t>
      </w:r>
      <w:r w:rsidR="004B2799">
        <w:rPr>
          <w:rFonts w:ascii="Times New Roman" w:hAnsi="Times New Roman" w:cs="Times New Roman"/>
          <w:color w:val="000000"/>
          <w:kern w:val="0"/>
        </w:rPr>
        <w:t xml:space="preserve">re </w:t>
      </w:r>
      <w:r w:rsidR="009D27FB">
        <w:rPr>
          <w:rFonts w:ascii="Times New Roman" w:hAnsi="Times New Roman" w:cs="Times New Roman"/>
          <w:color w:val="000000"/>
          <w:kern w:val="0"/>
        </w:rPr>
        <w:t>found in the range of 5% to 20%</w:t>
      </w:r>
      <w:r w:rsidR="009D27FB">
        <w:rPr>
          <w:rFonts w:ascii="Times New Roman" w:hAnsi="Times New Roman" w:cs="Times New Roman" w:hint="eastAsia"/>
          <w:color w:val="000000"/>
          <w:kern w:val="0"/>
        </w:rPr>
        <w:t xml:space="preserve"> (</w:t>
      </w:r>
      <w:r w:rsidR="002F46CB">
        <w:rPr>
          <w:rFonts w:ascii="Times New Roman" w:hAnsi="Times New Roman" w:cs="Times New Roman" w:hint="eastAsia"/>
          <w:color w:val="000000"/>
          <w:kern w:val="0"/>
        </w:rPr>
        <w:t>v</w:t>
      </w:r>
      <w:r w:rsidR="002F46CB">
        <w:rPr>
          <w:rFonts w:ascii="Times New Roman" w:hAnsi="Times New Roman" w:cs="Times New Roman"/>
          <w:color w:val="000000"/>
          <w:kern w:val="0"/>
        </w:rPr>
        <w:t>an Oevelen et al., 2011</w:t>
      </w:r>
      <w:r w:rsidR="002F46CB">
        <w:rPr>
          <w:rFonts w:ascii="Times New Roman" w:hAnsi="Times New Roman" w:cs="Times New Roman" w:hint="eastAsia"/>
          <w:color w:val="000000"/>
          <w:kern w:val="0"/>
        </w:rPr>
        <w:t>;</w:t>
      </w:r>
      <w:r w:rsidR="002F46CB">
        <w:rPr>
          <w:rFonts w:ascii="Times New Roman" w:hAnsi="Times New Roman" w:cs="Times New Roman"/>
          <w:color w:val="000000"/>
          <w:kern w:val="0"/>
        </w:rPr>
        <w:t xml:space="preserve"> Kones et al., 2009; </w:t>
      </w:r>
      <w:r w:rsidR="002F46CB" w:rsidRPr="006251A6">
        <w:rPr>
          <w:rFonts w:ascii="Times New Roman" w:hAnsi="Times New Roman" w:cs="Times New Roman"/>
          <w:color w:val="000000"/>
          <w:kern w:val="0"/>
        </w:rPr>
        <w:t>Anh et al., 2015</w:t>
      </w:r>
      <w:r w:rsidR="0048103E">
        <w:rPr>
          <w:rFonts w:ascii="Times New Roman" w:hAnsi="Times New Roman" w:cs="Times New Roman"/>
          <w:color w:val="000000"/>
          <w:kern w:val="0"/>
        </w:rPr>
        <w:t>)</w:t>
      </w:r>
      <w:r w:rsidR="009D27FB">
        <w:rPr>
          <w:rFonts w:ascii="Times New Roman" w:hAnsi="Times New Roman" w:cs="Times New Roman"/>
          <w:color w:val="000000"/>
          <w:kern w:val="0"/>
        </w:rPr>
        <w:t>,</w:t>
      </w:r>
      <w:r w:rsidR="004B2799">
        <w:rPr>
          <w:rFonts w:ascii="Times New Roman" w:hAnsi="Times New Roman" w:cs="Times New Roman"/>
          <w:color w:val="000000"/>
          <w:kern w:val="0"/>
        </w:rPr>
        <w:t>while our</w:t>
      </w:r>
      <w:r w:rsidR="005911AB">
        <w:rPr>
          <w:rFonts w:ascii="Times New Roman" w:hAnsi="Times New Roman" w:cs="Times New Roman"/>
          <w:color w:val="000000"/>
          <w:kern w:val="0"/>
        </w:rPr>
        <w:t xml:space="preserve"> </w:t>
      </w:r>
      <m:oMath>
        <m:r>
          <w:rPr>
            <w:rFonts w:ascii="Cambria Math" w:hAnsi="Cambria Math"/>
            <w:color w:val="000000"/>
            <w:kern w:val="0"/>
          </w:rPr>
          <m:t>FCI</m:t>
        </m:r>
      </m:oMath>
      <w:r w:rsidR="004B2799">
        <w:rPr>
          <w:rFonts w:ascii="Times New Roman" w:hAnsi="Times New Roman" w:cs="Times New Roman" w:hint="eastAsia"/>
          <w:color w:val="000000"/>
          <w:kern w:val="0"/>
        </w:rPr>
        <w:t xml:space="preserve"> </w:t>
      </w:r>
      <w:r w:rsidR="004B2799">
        <w:rPr>
          <w:rFonts w:ascii="Times New Roman" w:hAnsi="Times New Roman" w:cs="Times New Roman"/>
          <w:color w:val="000000"/>
          <w:kern w:val="0"/>
        </w:rPr>
        <w:t>are still within this range</w:t>
      </w:r>
      <w:r w:rsidR="002F15A2">
        <w:rPr>
          <w:rFonts w:ascii="Times New Roman" w:hAnsi="Times New Roman" w:cs="Times New Roman"/>
          <w:color w:val="000000"/>
          <w:kern w:val="0"/>
        </w:rPr>
        <w:t xml:space="preserve"> </w:t>
      </w:r>
      <w:r w:rsidR="002F15A2" w:rsidRPr="00553510">
        <w:rPr>
          <w:rFonts w:ascii="Times New Roman" w:hAnsi="Times New Roman" w:cs="Times New Roman"/>
          <w:color w:val="000000"/>
          <w:kern w:val="0"/>
        </w:rPr>
        <w:t xml:space="preserve">(GC1: </w:t>
      </w:r>
      <w:r w:rsidR="00553510" w:rsidRPr="00553510">
        <w:rPr>
          <w:rFonts w:ascii="Times New Roman" w:hAnsi="Times New Roman" w:cs="Times New Roman"/>
          <w:color w:val="000000"/>
          <w:kern w:val="0"/>
        </w:rPr>
        <w:t xml:space="preserve">7 </w:t>
      </w:r>
      <w:r w:rsidR="002F15A2" w:rsidRPr="00553510">
        <w:rPr>
          <w:rFonts w:ascii="Times New Roman" w:hAnsi="Times New Roman" w:cs="Times New Roman"/>
          <w:color w:val="000000"/>
          <w:kern w:val="0"/>
        </w:rPr>
        <w:t xml:space="preserve">%; GS1: </w:t>
      </w:r>
      <w:r w:rsidR="00553510" w:rsidRPr="00553510">
        <w:rPr>
          <w:rFonts w:ascii="Times New Roman" w:hAnsi="Times New Roman" w:cs="Times New Roman"/>
          <w:color w:val="000000"/>
          <w:kern w:val="0"/>
        </w:rPr>
        <w:t>13</w:t>
      </w:r>
      <w:r w:rsidR="002F15A2" w:rsidRPr="00553510">
        <w:rPr>
          <w:rFonts w:ascii="Times New Roman" w:hAnsi="Times New Roman" w:cs="Times New Roman"/>
          <w:color w:val="000000"/>
          <w:kern w:val="0"/>
        </w:rPr>
        <w:t>%</w:t>
      </w:r>
      <w:bookmarkStart w:id="0" w:name="_GoBack"/>
      <w:bookmarkEnd w:id="0"/>
      <w:r w:rsidR="002F15A2">
        <w:rPr>
          <w:rFonts w:ascii="Times New Roman" w:hAnsi="Times New Roman" w:cs="Times New Roman"/>
          <w:color w:val="000000"/>
          <w:kern w:val="0"/>
        </w:rPr>
        <w:t>)</w:t>
      </w:r>
      <w:r w:rsidR="004B2799">
        <w:rPr>
          <w:rFonts w:ascii="Times New Roman" w:hAnsi="Times New Roman" w:cs="Times New Roman"/>
          <w:color w:val="000000"/>
          <w:kern w:val="0"/>
        </w:rPr>
        <w:t xml:space="preserve">. </w:t>
      </w:r>
    </w:p>
    <w:p w:rsidR="000E2CF8" w:rsidRDefault="00CA185C" w:rsidP="00547C5B">
      <w:pPr>
        <w:rPr>
          <w:rFonts w:ascii="Times New Roman" w:hAnsi="Times New Roman" w:cs="Times New Roman"/>
          <w:color w:val="000000"/>
          <w:kern w:val="0"/>
        </w:rPr>
      </w:pPr>
      <w:r>
        <w:rPr>
          <w:rFonts w:ascii="Times New Roman" w:hAnsi="Times New Roman" w:cs="Times New Roman" w:hint="eastAsia"/>
          <w:color w:val="000000"/>
          <w:kern w:val="0"/>
        </w:rPr>
        <w:t>T</w:t>
      </w:r>
      <w:r w:rsidR="00163975">
        <w:rPr>
          <w:rFonts w:ascii="Times New Roman" w:hAnsi="Times New Roman" w:cs="Times New Roman"/>
          <w:color w:val="000000"/>
          <w:kern w:val="0"/>
        </w:rPr>
        <w:t xml:space="preserve">he rest index, </w:t>
      </w:r>
      <m:oMath>
        <m:r>
          <w:rPr>
            <w:rFonts w:ascii="Cambria Math" w:hAnsi="Cambria Math"/>
            <w:color w:val="000000"/>
            <w:kern w:val="0"/>
          </w:rPr>
          <m:t>AMI</m:t>
        </m:r>
      </m:oMath>
      <w:r w:rsidR="00163975">
        <w:rPr>
          <w:rFonts w:ascii="Times New Roman" w:hAnsi="Times New Roman" w:cs="Times New Roman" w:hint="eastAsia"/>
          <w:color w:val="000000"/>
          <w:kern w:val="0"/>
        </w:rPr>
        <w:t>,</w:t>
      </w:r>
      <w:r w:rsidR="00163975">
        <w:rPr>
          <w:rFonts w:ascii="Times New Roman" w:hAnsi="Times New Roman" w:cs="Times New Roman"/>
          <w:color w:val="000000"/>
          <w:kern w:val="0"/>
        </w:rPr>
        <w:t xml:space="preserve"> is suggested to be a</w:t>
      </w:r>
      <w:r>
        <w:rPr>
          <w:rFonts w:ascii="Times New Roman" w:hAnsi="Times New Roman" w:cs="Times New Roman" w:hint="eastAsia"/>
          <w:color w:val="000000"/>
          <w:kern w:val="0"/>
        </w:rPr>
        <w:t>n</w:t>
      </w:r>
      <w:r w:rsidR="00163975">
        <w:rPr>
          <w:rFonts w:ascii="Times New Roman" w:hAnsi="Times New Roman" w:cs="Times New Roman"/>
          <w:color w:val="000000"/>
          <w:kern w:val="0"/>
        </w:rPr>
        <w:t xml:space="preserve"> indicative index for the developmental status of a</w:t>
      </w:r>
      <w:r w:rsidR="00EE3D9B">
        <w:rPr>
          <w:rFonts w:ascii="Times New Roman" w:hAnsi="Times New Roman" w:cs="Times New Roman"/>
          <w:color w:val="000000"/>
          <w:kern w:val="0"/>
        </w:rPr>
        <w:t>n ecological network (Ulanowicz,1980)</w:t>
      </w:r>
      <w:r w:rsidR="000E35A0">
        <w:rPr>
          <w:rFonts w:ascii="Times New Roman" w:hAnsi="Times New Roman" w:cs="Times New Roman"/>
          <w:color w:val="000000"/>
          <w:kern w:val="0"/>
        </w:rPr>
        <w:t>. The</w:t>
      </w:r>
      <w:r w:rsidR="000E35A0">
        <w:rPr>
          <w:rFonts w:ascii="Times New Roman" w:hAnsi="Times New Roman" w:cs="Times New Roman" w:hint="eastAsia"/>
          <w:color w:val="000000"/>
          <w:kern w:val="0"/>
        </w:rPr>
        <w:t xml:space="preserve"> </w:t>
      </w:r>
      <w:r w:rsidR="000E35A0">
        <w:rPr>
          <w:rFonts w:ascii="Times New Roman" w:hAnsi="Times New Roman" w:cs="Times New Roman"/>
          <w:color w:val="000000"/>
          <w:kern w:val="0"/>
        </w:rPr>
        <w:t xml:space="preserve">magnitude of </w:t>
      </w:r>
      <m:oMath>
        <m:r>
          <w:rPr>
            <w:rFonts w:ascii="Cambria Math" w:hAnsi="Cambria Math"/>
            <w:color w:val="000000"/>
            <w:kern w:val="0"/>
          </w:rPr>
          <m:t>AMI</m:t>
        </m:r>
      </m:oMath>
      <w:r w:rsidR="000E35A0">
        <w:rPr>
          <w:rFonts w:ascii="Times New Roman" w:hAnsi="Times New Roman" w:cs="Times New Roman"/>
          <w:color w:val="000000"/>
          <w:kern w:val="0"/>
        </w:rPr>
        <w:t xml:space="preserve"> value</w:t>
      </w:r>
      <w:r w:rsidR="000E35A0">
        <w:rPr>
          <w:rFonts w:ascii="Times New Roman" w:hAnsi="Times New Roman" w:cs="Times New Roman" w:hint="eastAsia"/>
          <w:color w:val="000000"/>
          <w:kern w:val="0"/>
        </w:rPr>
        <w:t xml:space="preserve"> </w:t>
      </w:r>
      <w:r w:rsidR="000E35A0">
        <w:rPr>
          <w:rFonts w:ascii="Times New Roman" w:hAnsi="Times New Roman" w:cs="Times New Roman"/>
          <w:color w:val="000000"/>
          <w:kern w:val="0"/>
        </w:rPr>
        <w:t xml:space="preserve">is determined by the </w:t>
      </w:r>
      <w:r>
        <w:rPr>
          <w:rFonts w:ascii="Times New Roman" w:hAnsi="Times New Roman" w:cs="Times New Roman"/>
          <w:color w:val="000000"/>
          <w:kern w:val="0"/>
        </w:rPr>
        <w:t>number</w:t>
      </w:r>
      <w:r w:rsidR="000E35A0">
        <w:rPr>
          <w:rFonts w:ascii="Times New Roman" w:hAnsi="Times New Roman" w:cs="Times New Roman"/>
          <w:color w:val="000000"/>
          <w:kern w:val="0"/>
        </w:rPr>
        <w:t xml:space="preserve"> of constraints, that is, the more the constraint</w:t>
      </w:r>
      <w:r>
        <w:rPr>
          <w:rFonts w:ascii="Times New Roman" w:hAnsi="Times New Roman" w:cs="Times New Roman"/>
          <w:color w:val="000000"/>
          <w:kern w:val="0"/>
        </w:rPr>
        <w:t xml:space="preserve"> are</w:t>
      </w:r>
      <w:r w:rsidR="000E35A0">
        <w:rPr>
          <w:rFonts w:ascii="Times New Roman" w:hAnsi="Times New Roman" w:cs="Times New Roman"/>
          <w:color w:val="000000"/>
          <w:kern w:val="0"/>
        </w:rPr>
        <w:t xml:space="preserve"> in effect, the less the uncertainty</w:t>
      </w:r>
      <w:r>
        <w:rPr>
          <w:rFonts w:ascii="Times New Roman" w:hAnsi="Times New Roman" w:cs="Times New Roman"/>
          <w:color w:val="000000"/>
          <w:kern w:val="0"/>
        </w:rPr>
        <w:t xml:space="preserve"> is in the system</w:t>
      </w:r>
      <w:r w:rsidR="000E35A0">
        <w:rPr>
          <w:rFonts w:ascii="Times New Roman" w:hAnsi="Times New Roman" w:cs="Times New Roman"/>
          <w:color w:val="000000"/>
          <w:kern w:val="0"/>
        </w:rPr>
        <w:t xml:space="preserve">, therefore, the higher value the </w:t>
      </w:r>
      <m:oMath>
        <m:r>
          <w:rPr>
            <w:rFonts w:ascii="Cambria Math" w:hAnsi="Cambria Math"/>
            <w:color w:val="000000"/>
            <w:kern w:val="0"/>
          </w:rPr>
          <m:t>AMI</m:t>
        </m:r>
      </m:oMath>
      <w:r>
        <w:rPr>
          <w:rFonts w:ascii="Times New Roman" w:hAnsi="Times New Roman" w:cs="Times New Roman" w:hint="eastAsia"/>
          <w:color w:val="000000"/>
          <w:kern w:val="0"/>
        </w:rPr>
        <w:t xml:space="preserve"> </w:t>
      </w:r>
      <w:r>
        <w:rPr>
          <w:rFonts w:ascii="Times New Roman" w:hAnsi="Times New Roman" w:cs="Times New Roman"/>
          <w:color w:val="000000"/>
          <w:kern w:val="0"/>
        </w:rPr>
        <w:t>will be</w:t>
      </w:r>
      <w:r w:rsidR="000E35A0">
        <w:rPr>
          <w:rFonts w:ascii="Times New Roman" w:hAnsi="Times New Roman" w:cs="Times New Roman" w:hint="eastAsia"/>
          <w:color w:val="000000"/>
          <w:kern w:val="0"/>
        </w:rPr>
        <w:t>.</w:t>
      </w:r>
      <w:r w:rsidR="00A768A0">
        <w:rPr>
          <w:rFonts w:ascii="Times New Roman" w:hAnsi="Times New Roman" w:cs="Times New Roman"/>
          <w:color w:val="000000"/>
          <w:kern w:val="0"/>
        </w:rPr>
        <w:t xml:space="preserve"> </w:t>
      </w:r>
    </w:p>
    <w:p w:rsidR="003534EB" w:rsidRDefault="00A768A0" w:rsidP="00B31BDA">
      <w:pPr>
        <w:rPr>
          <w:rFonts w:ascii="Times New Roman" w:hAnsi="Times New Roman" w:cs="Times New Roman"/>
          <w:color w:val="000000"/>
          <w:kern w:val="0"/>
        </w:rPr>
      </w:pPr>
      <w:r>
        <w:rPr>
          <w:rFonts w:ascii="Times New Roman" w:hAnsi="Times New Roman" w:cs="Times New Roman"/>
          <w:color w:val="000000"/>
          <w:kern w:val="0"/>
        </w:rPr>
        <w:t xml:space="preserve">In the aspect of </w:t>
      </w:r>
      <w:r w:rsidR="00547C5B">
        <w:rPr>
          <w:rFonts w:ascii="Times New Roman" w:hAnsi="Times New Roman" w:cs="Times New Roman"/>
          <w:color w:val="000000"/>
          <w:kern w:val="0"/>
        </w:rPr>
        <w:t>model structure,</w:t>
      </w:r>
      <w:r w:rsidR="00C24005">
        <w:rPr>
          <w:rFonts w:ascii="Times New Roman" w:hAnsi="Times New Roman" w:cs="Times New Roman"/>
          <w:color w:val="000000"/>
          <w:kern w:val="0"/>
        </w:rPr>
        <w:t xml:space="preserve"> if</w:t>
      </w:r>
      <w:r w:rsidR="008E6FA9">
        <w:rPr>
          <w:rFonts w:ascii="Times New Roman" w:hAnsi="Times New Roman" w:cs="Times New Roman"/>
          <w:color w:val="000000"/>
          <w:kern w:val="0"/>
        </w:rPr>
        <w:t xml:space="preserve"> the distribution of the energy </w:t>
      </w:r>
      <w:r w:rsidR="00C24005">
        <w:rPr>
          <w:rFonts w:ascii="Times New Roman" w:hAnsi="Times New Roman" w:cs="Times New Roman" w:hint="eastAsia"/>
          <w:color w:val="000000"/>
          <w:kern w:val="0"/>
        </w:rPr>
        <w:t>p</w:t>
      </w:r>
      <w:r w:rsidR="00C24005">
        <w:rPr>
          <w:rFonts w:ascii="Times New Roman" w:hAnsi="Times New Roman" w:cs="Times New Roman"/>
          <w:color w:val="000000"/>
          <w:kern w:val="0"/>
        </w:rPr>
        <w:t>asses through only</w:t>
      </w:r>
      <w:r w:rsidR="00CB4A72">
        <w:rPr>
          <w:rFonts w:ascii="Times New Roman" w:hAnsi="Times New Roman" w:cs="Times New Roman"/>
          <w:color w:val="000000"/>
          <w:kern w:val="0"/>
        </w:rPr>
        <w:t xml:space="preserve"> few</w:t>
      </w:r>
      <w:r w:rsidR="00C24005">
        <w:rPr>
          <w:rFonts w:ascii="Times New Roman" w:hAnsi="Times New Roman" w:cs="Times New Roman"/>
          <w:color w:val="000000"/>
          <w:kern w:val="0"/>
        </w:rPr>
        <w:t>,</w:t>
      </w:r>
      <w:r w:rsidR="00CB4A72">
        <w:rPr>
          <w:rFonts w:ascii="Times New Roman" w:hAnsi="Times New Roman" w:cs="Times New Roman"/>
          <w:color w:val="000000"/>
          <w:kern w:val="0"/>
        </w:rPr>
        <w:t xml:space="preserve"> efficient route, the cost of maintenance for the whole system would decrease </w:t>
      </w:r>
      <w:r w:rsidR="002455BF">
        <w:rPr>
          <w:rFonts w:ascii="Times New Roman" w:hAnsi="Times New Roman" w:cs="Times New Roman" w:hint="eastAsia"/>
          <w:color w:val="000000"/>
          <w:kern w:val="0"/>
        </w:rPr>
        <w:t>(</w:t>
      </w:r>
      <w:r w:rsidR="002455BF">
        <w:rPr>
          <w:rFonts w:ascii="Times New Roman" w:hAnsi="Times New Roman" w:cs="Times New Roman"/>
          <w:color w:val="000000"/>
          <w:kern w:val="0"/>
        </w:rPr>
        <w:t>Bodini, 2012)</w:t>
      </w:r>
      <w:r w:rsidR="00CB4A72">
        <w:rPr>
          <w:rFonts w:ascii="Times New Roman" w:hAnsi="Times New Roman" w:cs="Times New Roman"/>
          <w:color w:val="000000"/>
          <w:kern w:val="0"/>
        </w:rPr>
        <w:t xml:space="preserve">. </w:t>
      </w:r>
      <w:r w:rsidR="00C24005">
        <w:rPr>
          <w:rFonts w:ascii="Times New Roman" w:hAnsi="Times New Roman" w:cs="Times New Roman"/>
          <w:color w:val="000000"/>
          <w:kern w:val="0"/>
        </w:rPr>
        <w:t xml:space="preserve">On the other hand, </w:t>
      </w:r>
      <w:r w:rsidR="000E2CF8">
        <w:rPr>
          <w:rFonts w:ascii="Times New Roman" w:hAnsi="Times New Roman" w:cs="Times New Roman"/>
          <w:color w:val="000000"/>
          <w:kern w:val="0"/>
        </w:rPr>
        <w:t xml:space="preserve">a highly redundant network which is less organized would have a lower </w:t>
      </w:r>
      <m:oMath>
        <m:r>
          <w:rPr>
            <w:rFonts w:ascii="Cambria Math" w:hAnsi="Cambria Math"/>
            <w:color w:val="000000"/>
            <w:kern w:val="0"/>
          </w:rPr>
          <m:t>AMI</m:t>
        </m:r>
      </m:oMath>
      <w:r w:rsidR="000E2CF8">
        <w:rPr>
          <w:rFonts w:ascii="Times New Roman" w:hAnsi="Times New Roman" w:cs="Times New Roman"/>
          <w:color w:val="000000"/>
          <w:kern w:val="0"/>
        </w:rPr>
        <w:t xml:space="preserve"> value. </w:t>
      </w:r>
      <w:r w:rsidR="00C24005" w:rsidRPr="000E2CF8">
        <w:rPr>
          <w:rFonts w:ascii="Times New Roman" w:hAnsi="Times New Roman" w:cs="Times New Roman"/>
          <w:color w:val="000000"/>
          <w:kern w:val="0"/>
        </w:rPr>
        <w:t>It follows that</w:t>
      </w:r>
      <w:r w:rsidR="00C24005" w:rsidRPr="00C24005">
        <w:rPr>
          <w:rFonts w:ascii="Times New Roman" w:hAnsi="Times New Roman" w:cs="Times New Roman" w:hint="eastAsia"/>
          <w:color w:val="000000"/>
          <w:kern w:val="0"/>
        </w:rPr>
        <w:t xml:space="preserve"> </w:t>
      </w:r>
      <m:oMath>
        <m:r>
          <w:rPr>
            <w:rFonts w:ascii="Cambria Math" w:hAnsi="Cambria Math"/>
            <w:color w:val="000000"/>
            <w:kern w:val="0"/>
          </w:rPr>
          <m:t>AMI</m:t>
        </m:r>
      </m:oMath>
      <w:r w:rsidR="00A059B8">
        <w:rPr>
          <w:rFonts w:ascii="Times New Roman" w:hAnsi="Times New Roman" w:cs="Times New Roman"/>
          <w:color w:val="000000"/>
          <w:kern w:val="0"/>
        </w:rPr>
        <w:t xml:space="preserve"> </w:t>
      </w:r>
      <w:r w:rsidR="00C24005" w:rsidRPr="00C24005">
        <w:rPr>
          <w:rFonts w:ascii="Times New Roman" w:hAnsi="Times New Roman" w:cs="Times New Roman" w:hint="eastAsia"/>
          <w:color w:val="000000"/>
          <w:kern w:val="0"/>
        </w:rPr>
        <w:t xml:space="preserve">value is expected to be lower at early </w:t>
      </w:r>
      <w:r w:rsidR="00C24005">
        <w:rPr>
          <w:rFonts w:ascii="Times New Roman" w:hAnsi="Times New Roman" w:cs="Times New Roman" w:hint="eastAsia"/>
          <w:color w:val="000000"/>
          <w:kern w:val="0"/>
        </w:rPr>
        <w:t>i</w:t>
      </w:r>
      <w:r w:rsidR="00C24005">
        <w:rPr>
          <w:rFonts w:ascii="Times New Roman" w:hAnsi="Times New Roman" w:cs="Times New Roman"/>
          <w:color w:val="000000"/>
          <w:kern w:val="0"/>
        </w:rPr>
        <w:t xml:space="preserve">mmature </w:t>
      </w:r>
      <w:r w:rsidR="00C24005" w:rsidRPr="00C24005">
        <w:rPr>
          <w:rFonts w:ascii="Times New Roman" w:hAnsi="Times New Roman" w:cs="Times New Roman" w:hint="eastAsia"/>
          <w:color w:val="000000"/>
          <w:kern w:val="0"/>
        </w:rPr>
        <w:t>stage</w:t>
      </w:r>
      <w:r w:rsidR="00C24005">
        <w:rPr>
          <w:rFonts w:ascii="Times New Roman" w:hAnsi="Times New Roman" w:cs="Times New Roman"/>
          <w:color w:val="000000"/>
          <w:kern w:val="0"/>
        </w:rPr>
        <w:t xml:space="preserve"> of the ecosystem</w:t>
      </w:r>
      <w:r w:rsidR="006E66BA">
        <w:rPr>
          <w:rFonts w:ascii="Times New Roman" w:hAnsi="Times New Roman" w:cs="Times New Roman" w:hint="eastAsia"/>
          <w:color w:val="000000"/>
          <w:kern w:val="0"/>
        </w:rPr>
        <w:t>(Mu</w:t>
      </w:r>
      <w:r w:rsidR="006E66BA">
        <w:rPr>
          <w:rFonts w:ascii="Times New Roman" w:hAnsi="Times New Roman" w:cs="Times New Roman"/>
          <w:color w:val="000000"/>
          <w:kern w:val="0"/>
        </w:rPr>
        <w:t>kherjee et al., 2019</w:t>
      </w:r>
      <w:r w:rsidR="006E66BA">
        <w:rPr>
          <w:rFonts w:ascii="Times New Roman" w:hAnsi="Times New Roman" w:cs="Times New Roman" w:hint="eastAsia"/>
          <w:color w:val="000000"/>
          <w:kern w:val="0"/>
        </w:rPr>
        <w:t>)</w:t>
      </w:r>
      <w:r w:rsidR="00DF3791">
        <w:rPr>
          <w:rFonts w:ascii="Times New Roman" w:hAnsi="Times New Roman" w:cs="Times New Roman"/>
          <w:color w:val="000000"/>
          <w:kern w:val="0"/>
        </w:rPr>
        <w:t>.</w:t>
      </w:r>
      <w:r w:rsidR="00C24005">
        <w:rPr>
          <w:rFonts w:ascii="Times New Roman" w:hAnsi="Times New Roman" w:cs="Times New Roman"/>
          <w:color w:val="000000"/>
          <w:kern w:val="0"/>
        </w:rPr>
        <w:t xml:space="preserve"> </w:t>
      </w:r>
      <w:r w:rsidR="00A059B8">
        <w:rPr>
          <w:rFonts w:ascii="Times New Roman" w:hAnsi="Times New Roman" w:cs="Times New Roman"/>
          <w:color w:val="000000"/>
          <w:kern w:val="0"/>
        </w:rPr>
        <w:t>From our data,</w:t>
      </w:r>
      <w:r w:rsidR="002304A8">
        <w:rPr>
          <w:rFonts w:ascii="Times New Roman" w:hAnsi="Times New Roman" w:cs="Times New Roman"/>
          <w:color w:val="000000"/>
          <w:kern w:val="0"/>
        </w:rPr>
        <w:t xml:space="preserve"> </w:t>
      </w:r>
      <w:r w:rsidR="007C0FE6">
        <w:rPr>
          <w:rFonts w:ascii="Times New Roman" w:hAnsi="Times New Roman" w:cs="Times New Roman" w:hint="eastAsia"/>
          <w:color w:val="000000"/>
          <w:kern w:val="0"/>
        </w:rPr>
        <w:t>t</w:t>
      </w:r>
      <w:r w:rsidR="007C0FE6">
        <w:rPr>
          <w:rFonts w:ascii="Times New Roman" w:hAnsi="Times New Roman" w:cs="Times New Roman"/>
          <w:color w:val="000000"/>
          <w:kern w:val="0"/>
        </w:rPr>
        <w:t xml:space="preserve">hough the </w:t>
      </w:r>
      <m:oMath>
        <m:r>
          <w:rPr>
            <w:rFonts w:ascii="Cambria Math" w:hAnsi="Cambria Math"/>
            <w:color w:val="000000"/>
            <w:kern w:val="0"/>
          </w:rPr>
          <m:t>AMI</m:t>
        </m:r>
      </m:oMath>
      <w:r w:rsidR="002304A8">
        <w:rPr>
          <w:rFonts w:ascii="Times New Roman" w:hAnsi="Times New Roman" w:cs="Times New Roman"/>
          <w:color w:val="000000"/>
          <w:kern w:val="0"/>
        </w:rPr>
        <w:t xml:space="preserve"> of GS1 was insignificantly higher than that of GC1</w:t>
      </w:r>
      <w:r w:rsidR="00F30B8A">
        <w:rPr>
          <w:rFonts w:ascii="Times New Roman" w:hAnsi="Times New Roman" w:cs="Times New Roman"/>
          <w:color w:val="000000"/>
          <w:kern w:val="0"/>
        </w:rPr>
        <w:t>,</w:t>
      </w:r>
      <w:r w:rsidR="00DF3791">
        <w:rPr>
          <w:rFonts w:ascii="Times New Roman" w:hAnsi="Times New Roman" w:cs="Times New Roman"/>
          <w:color w:val="000000"/>
          <w:kern w:val="0"/>
        </w:rPr>
        <w:t xml:space="preserve"> </w:t>
      </w:r>
      <w:r w:rsidR="007C0FE6">
        <w:rPr>
          <w:rFonts w:ascii="Times New Roman" w:hAnsi="Times New Roman" w:cs="Times New Roman" w:hint="eastAsia"/>
          <w:color w:val="000000"/>
          <w:kern w:val="0"/>
        </w:rPr>
        <w:t>i</w:t>
      </w:r>
      <w:r w:rsidR="007C0FE6">
        <w:rPr>
          <w:rFonts w:ascii="Times New Roman" w:hAnsi="Times New Roman" w:cs="Times New Roman"/>
          <w:color w:val="000000"/>
          <w:kern w:val="0"/>
        </w:rPr>
        <w:t xml:space="preserve">t </w:t>
      </w:r>
      <w:r w:rsidR="00D96190" w:rsidRPr="00D96190">
        <w:rPr>
          <w:rFonts w:ascii="Times New Roman" w:hAnsi="Times New Roman" w:cs="Times New Roman"/>
          <w:color w:val="000000"/>
          <w:kern w:val="0"/>
        </w:rPr>
        <w:t>would be higher at low disturbance condition</w:t>
      </w:r>
      <w:r w:rsidR="00931EF6">
        <w:rPr>
          <w:rFonts w:ascii="Times New Roman" w:hAnsi="Times New Roman" w:cs="Times New Roman"/>
          <w:color w:val="000000"/>
          <w:kern w:val="0"/>
        </w:rPr>
        <w:t>.</w:t>
      </w:r>
      <w:r w:rsidR="00B31BDA">
        <w:rPr>
          <w:rFonts w:ascii="Times New Roman" w:hAnsi="Times New Roman" w:cs="Times New Roman"/>
          <w:color w:val="000000"/>
          <w:kern w:val="0"/>
        </w:rPr>
        <w:t xml:space="preserve"> </w:t>
      </w:r>
    </w:p>
    <w:p w:rsidR="00C24F35" w:rsidRPr="00C24F35" w:rsidRDefault="00C24F35" w:rsidP="00C24F35">
      <w:pPr>
        <w:rPr>
          <w:rFonts w:ascii="Times New Roman" w:hAnsi="Times New Roman" w:cs="Times New Roman"/>
        </w:rPr>
      </w:pPr>
      <w:r w:rsidRPr="00C24F35">
        <w:rPr>
          <w:rFonts w:ascii="Times New Roman" w:hAnsi="Times New Roman" w:cs="Times New Roman"/>
        </w:rPr>
        <w:lastRenderedPageBreak/>
        <w:t xml:space="preserve">The turnover rate (or residence time) of OM can be considered as a function of stock size and energy transfer in/out of the stock. In deep-sea studies, scientists quantify the sediment stock and the POC fluxes and thus derive the turnover rate </w:t>
      </w:r>
      <w:r w:rsidR="0013359A">
        <w:rPr>
          <w:rFonts w:ascii="Times New Roman" w:hAnsi="Times New Roman" w:cs="Times New Roman"/>
        </w:rPr>
        <w:t>(e.g. Rowe et al., 2008)</w:t>
      </w:r>
      <w:r w:rsidRPr="00C24F35">
        <w:rPr>
          <w:rFonts w:ascii="Times New Roman" w:hAnsi="Times New Roman" w:cs="Times New Roman"/>
        </w:rPr>
        <w:t>. However, the quantification of OM turnover is far more complicated because of the various sediment composition and organism taxa assemblages with the change of locations. From another point of view, the turnover rate also describes the mechanism for consuming OM through aerobic or anaerobic utilization by the whole benthic community (Rowe et al., 1990). Therefore, carbon stocks divided by the oxygen demand (i.e. TOU, DOU, and B</w:t>
      </w:r>
      <w:r w:rsidR="00B267FF">
        <w:rPr>
          <w:rFonts w:ascii="Times New Roman" w:hAnsi="Times New Roman" w:cs="Times New Roman" w:hint="eastAsia"/>
        </w:rPr>
        <w:t>M</w:t>
      </w:r>
      <w:r w:rsidRPr="00C24F35">
        <w:rPr>
          <w:rFonts w:ascii="Times New Roman" w:hAnsi="Times New Roman" w:cs="Times New Roman"/>
        </w:rPr>
        <w:t xml:space="preserve">U) in terms of carbon equivalents can be adopted as an alternative method of OC turnover rate derivation. </w:t>
      </w:r>
    </w:p>
    <w:p w:rsidR="00EA2ED0" w:rsidRDefault="00C24F35" w:rsidP="00C24F35">
      <w:pPr>
        <w:rPr>
          <w:rFonts w:ascii="Times New Roman" w:hAnsi="Times New Roman" w:cs="Times New Roman"/>
        </w:rPr>
      </w:pPr>
      <w:r w:rsidRPr="00C24F35">
        <w:rPr>
          <w:rFonts w:ascii="Times New Roman" w:hAnsi="Times New Roman" w:cs="Times New Roman"/>
        </w:rPr>
        <w:t>The turnover time of total OC estimated by the model results (table.) was the order of decade in the canyon head, while it appeared to be over a century on the slope. The turnover time in GC1 (63year) is similar to the turnover rate reported at the head of Mississippi Canyon (57 years; Rowe et al., 2008). Similarly, this rate of GS1 (101 years) is also similar to the turnover on the slope station near the Demerara Abyssal Plain (132 years; Rowe et al</w:t>
      </w:r>
      <w:r w:rsidR="00EA2ED0">
        <w:rPr>
          <w:rFonts w:ascii="Times New Roman" w:hAnsi="Times New Roman" w:cs="Times New Roman"/>
        </w:rPr>
        <w:t>., 1990). The longer residence time in GS1 corresponds to the</w:t>
      </w:r>
      <w:r w:rsidR="00EA2ED0">
        <w:rPr>
          <w:rFonts w:ascii="Times New Roman" w:hAnsi="Times New Roman" w:cs="Times New Roman" w:hint="eastAsia"/>
        </w:rPr>
        <w:t xml:space="preserve"> </w:t>
      </w:r>
      <w:r w:rsidR="00EA2ED0">
        <w:rPr>
          <w:rFonts w:ascii="Times New Roman" w:hAnsi="Times New Roman" w:cs="Times New Roman"/>
        </w:rPr>
        <w:t xml:space="preserve">interpretation of </w:t>
      </w:r>
      <m:oMath>
        <m:r>
          <w:rPr>
            <w:rFonts w:ascii="Cambria Math" w:hAnsi="Cambria Math"/>
            <w:color w:val="000000"/>
            <w:kern w:val="0"/>
          </w:rPr>
          <m:t>FCI</m:t>
        </m:r>
      </m:oMath>
      <w:r w:rsidR="00EA2ED0">
        <w:rPr>
          <w:rFonts w:ascii="Times New Roman" w:hAnsi="Times New Roman" w:cs="Times New Roman"/>
          <w:color w:val="000000"/>
          <w:kern w:val="0"/>
        </w:rPr>
        <w:t xml:space="preserve">, </w:t>
      </w:r>
      <w:r w:rsidR="006938C6">
        <w:rPr>
          <w:rFonts w:ascii="Times New Roman" w:hAnsi="Times New Roman" w:cs="Times New Roman" w:hint="eastAsia"/>
          <w:color w:val="000000"/>
          <w:kern w:val="0"/>
        </w:rPr>
        <w:t>r</w:t>
      </w:r>
      <w:r w:rsidR="006938C6">
        <w:rPr>
          <w:rFonts w:ascii="Times New Roman" w:hAnsi="Times New Roman" w:cs="Times New Roman"/>
          <w:color w:val="000000"/>
          <w:kern w:val="0"/>
        </w:rPr>
        <w:t>evealing the carbon is recycled in the slope habitat.</w:t>
      </w:r>
    </w:p>
    <w:p w:rsidR="00262D25" w:rsidRDefault="00EA2ED0" w:rsidP="00C24F35">
      <w:pPr>
        <w:rPr>
          <w:rFonts w:ascii="Times New Roman" w:hAnsi="Times New Roman" w:cs="Times New Roman"/>
        </w:rPr>
      </w:pPr>
      <w:r>
        <w:rPr>
          <w:rFonts w:ascii="Times New Roman" w:hAnsi="Times New Roman" w:cs="Times New Roman"/>
        </w:rPr>
        <w:t>On the other hand, though the</w:t>
      </w:r>
      <w:r w:rsidR="00C24F35" w:rsidRPr="00C24F35">
        <w:rPr>
          <w:rFonts w:ascii="Times New Roman" w:hAnsi="Times New Roman" w:cs="Times New Roman"/>
        </w:rPr>
        <w:t xml:space="preserve"> turnover time derived from the direct measurement was shorter than that derived from modeled estimations</w:t>
      </w:r>
      <w:r>
        <w:rPr>
          <w:rFonts w:ascii="Times New Roman" w:hAnsi="Times New Roman" w:cs="Times New Roman"/>
        </w:rPr>
        <w:t xml:space="preserve">, it is not unlikely to be true. For example, Rowe et al. (1991) reported the residence time on a mean of 11 years on the continental shelf </w:t>
      </w:r>
      <w:r w:rsidR="006938C6">
        <w:rPr>
          <w:rFonts w:ascii="Times New Roman" w:hAnsi="Times New Roman" w:cs="Times New Roman"/>
        </w:rPr>
        <w:t xml:space="preserve">which is </w:t>
      </w:r>
      <w:r>
        <w:rPr>
          <w:rFonts w:ascii="Times New Roman" w:hAnsi="Times New Roman" w:cs="Times New Roman"/>
        </w:rPr>
        <w:t>150</w:t>
      </w:r>
      <w:r w:rsidR="006938C6">
        <w:rPr>
          <w:rFonts w:ascii="Times New Roman" w:hAnsi="Times New Roman" w:cs="Times New Roman"/>
        </w:rPr>
        <w:t xml:space="preserve"> </w:t>
      </w:r>
      <w:r>
        <w:rPr>
          <w:rFonts w:ascii="Times New Roman" w:hAnsi="Times New Roman" w:cs="Times New Roman"/>
        </w:rPr>
        <w:t>meter</w:t>
      </w:r>
      <w:r w:rsidR="006938C6">
        <w:rPr>
          <w:rFonts w:ascii="Times New Roman" w:hAnsi="Times New Roman" w:cs="Times New Roman"/>
        </w:rPr>
        <w:t>s</w:t>
      </w:r>
      <w:r>
        <w:rPr>
          <w:rFonts w:ascii="Times New Roman" w:hAnsi="Times New Roman" w:cs="Times New Roman"/>
        </w:rPr>
        <w:t xml:space="preserve"> de</w:t>
      </w:r>
      <w:r w:rsidR="006938C6">
        <w:rPr>
          <w:rFonts w:ascii="Times New Roman" w:hAnsi="Times New Roman" w:cs="Times New Roman"/>
        </w:rPr>
        <w:t>e</w:t>
      </w:r>
      <w:r>
        <w:rPr>
          <w:rFonts w:ascii="Times New Roman" w:hAnsi="Times New Roman" w:cs="Times New Roman"/>
        </w:rPr>
        <w:t>p. Hence, t</w:t>
      </w:r>
      <w:r w:rsidR="00C24F35" w:rsidRPr="00C24F35">
        <w:rPr>
          <w:rFonts w:ascii="Times New Roman" w:hAnsi="Times New Roman" w:cs="Times New Roman"/>
        </w:rPr>
        <w:t xml:space="preserve">his contradiction might </w:t>
      </w:r>
      <w:r>
        <w:rPr>
          <w:rFonts w:ascii="Times New Roman" w:hAnsi="Times New Roman" w:cs="Times New Roman"/>
        </w:rPr>
        <w:t>be attributed to</w:t>
      </w:r>
      <w:r w:rsidR="00C24F35" w:rsidRPr="00C24F35">
        <w:rPr>
          <w:rFonts w:ascii="Times New Roman" w:hAnsi="Times New Roman" w:cs="Times New Roman"/>
        </w:rPr>
        <w:t xml:space="preserve"> the underestimated bioturbation or physical disturbance in the real environment.</w:t>
      </w:r>
    </w:p>
    <w:p w:rsidR="000A51D0" w:rsidRDefault="000A51D0" w:rsidP="008D5C2D">
      <w:pPr>
        <w:rPr>
          <w:rFonts w:ascii="Times New Roman" w:hAnsi="Times New Roman" w:cs="Times New Roman"/>
        </w:rPr>
      </w:pPr>
    </w:p>
    <w:p w:rsidR="000A51D0" w:rsidRPr="00E078C2" w:rsidRDefault="00E078C2" w:rsidP="008D5C2D">
      <w:pPr>
        <w:rPr>
          <w:rFonts w:ascii="Times New Roman" w:hAnsi="Times New Roman" w:cs="Times New Roman"/>
          <w:b/>
        </w:rPr>
      </w:pPr>
      <w:r w:rsidRPr="00E078C2">
        <w:rPr>
          <w:rFonts w:ascii="Times New Roman" w:hAnsi="Times New Roman" w:cs="Times New Roman" w:hint="eastAsia"/>
          <w:b/>
        </w:rPr>
        <w:t>Bu</w:t>
      </w:r>
      <w:r w:rsidRPr="00E078C2">
        <w:rPr>
          <w:rFonts w:ascii="Times New Roman" w:hAnsi="Times New Roman" w:cs="Times New Roman"/>
          <w:b/>
        </w:rPr>
        <w:t xml:space="preserve">rial </w:t>
      </w:r>
      <w:r w:rsidR="008E654F" w:rsidRPr="00E078C2">
        <w:rPr>
          <w:rFonts w:ascii="Times New Roman" w:hAnsi="Times New Roman" w:cs="Times New Roman" w:hint="eastAsia"/>
          <w:b/>
        </w:rPr>
        <w:t>efficiency</w:t>
      </w:r>
      <w:r w:rsidRPr="00E078C2">
        <w:rPr>
          <w:rFonts w:ascii="Times New Roman" w:hAnsi="Times New Roman" w:cs="Times New Roman"/>
          <w:b/>
        </w:rPr>
        <w:t xml:space="preserve"> and carbon sequestration in </w:t>
      </w:r>
      <w:r>
        <w:rPr>
          <w:rFonts w:ascii="Times New Roman" w:hAnsi="Times New Roman" w:cs="Times New Roman"/>
          <w:b/>
        </w:rPr>
        <w:t xml:space="preserve">the </w:t>
      </w:r>
      <w:r w:rsidRPr="00E078C2">
        <w:rPr>
          <w:rFonts w:ascii="Times New Roman" w:hAnsi="Times New Roman" w:cs="Times New Roman"/>
          <w:b/>
        </w:rPr>
        <w:t>GPSC</w:t>
      </w:r>
    </w:p>
    <w:p w:rsidR="006C0750" w:rsidRPr="006C0750" w:rsidRDefault="006C0750" w:rsidP="006C0750">
      <w:pPr>
        <w:rPr>
          <w:rFonts w:ascii="Times New Roman" w:hAnsi="Times New Roman" w:cs="Times New Roman"/>
        </w:rPr>
      </w:pPr>
      <w:r w:rsidRPr="006C0750">
        <w:rPr>
          <w:rFonts w:ascii="Times New Roman" w:hAnsi="Times New Roman" w:cs="Times New Roman" w:hint="eastAsia"/>
        </w:rPr>
        <w:t>In our model, the burial efficiency was calculated as the ratio of burial flow (Sediment</w:t>
      </w:r>
      <w:r w:rsidRPr="006C0750">
        <w:rPr>
          <w:rFonts w:ascii="Times New Roman" w:hAnsi="Times New Roman" w:cs="Times New Roman" w:hint="eastAsia"/>
        </w:rPr>
        <w:t>→</w:t>
      </w:r>
      <w:r w:rsidR="0013359A">
        <w:rPr>
          <w:rFonts w:ascii="Times New Roman" w:hAnsi="Times New Roman" w:cs="Times New Roman" w:hint="eastAsia"/>
        </w:rPr>
        <w:t xml:space="preserve">Burial in </w:t>
      </w:r>
      <w:r w:rsidR="0013359A">
        <w:rPr>
          <w:rFonts w:ascii="Times New Roman" w:hAnsi="Times New Roman" w:cs="Times New Roman"/>
        </w:rPr>
        <w:t>F</w:t>
      </w:r>
      <w:r w:rsidRPr="006C0750">
        <w:rPr>
          <w:rFonts w:ascii="Times New Roman" w:hAnsi="Times New Roman" w:cs="Times New Roman" w:hint="eastAsia"/>
        </w:rPr>
        <w:t>ig.</w:t>
      </w:r>
      <w:r w:rsidR="0013359A">
        <w:rPr>
          <w:rFonts w:ascii="Times New Roman" w:hAnsi="Times New Roman" w:cs="Times New Roman"/>
        </w:rPr>
        <w:t xml:space="preserve"> 2</w:t>
      </w:r>
      <w:r w:rsidRPr="006C0750">
        <w:rPr>
          <w:rFonts w:ascii="Times New Roman" w:hAnsi="Times New Roman" w:cs="Times New Roman" w:hint="eastAsia"/>
        </w:rPr>
        <w:t>) to POC flux (POC</w:t>
      </w:r>
      <w:r w:rsidRPr="006C0750">
        <w:rPr>
          <w:rFonts w:ascii="Times New Roman" w:hAnsi="Times New Roman" w:cs="Times New Roman" w:hint="eastAsia"/>
        </w:rPr>
        <w:t>→</w:t>
      </w:r>
      <w:r w:rsidRPr="006C0750">
        <w:rPr>
          <w:rFonts w:ascii="Times New Roman" w:hAnsi="Times New Roman" w:cs="Times New Roman" w:hint="eastAsia"/>
        </w:rPr>
        <w:t>Sediment</w:t>
      </w:r>
      <w:r w:rsidR="0049503C" w:rsidRPr="0049503C">
        <w:rPr>
          <w:rFonts w:ascii="Times New Roman" w:hAnsi="Times New Roman" w:cs="Times New Roman" w:hint="eastAsia"/>
        </w:rPr>
        <w:t xml:space="preserve"> </w:t>
      </w:r>
      <w:r w:rsidR="0049503C">
        <w:rPr>
          <w:rFonts w:ascii="Times New Roman" w:hAnsi="Times New Roman" w:cs="Times New Roman" w:hint="eastAsia"/>
        </w:rPr>
        <w:t xml:space="preserve">in </w:t>
      </w:r>
      <w:r w:rsidR="0049503C">
        <w:rPr>
          <w:rFonts w:ascii="Times New Roman" w:hAnsi="Times New Roman" w:cs="Times New Roman"/>
        </w:rPr>
        <w:t>F</w:t>
      </w:r>
      <w:r w:rsidR="0049503C" w:rsidRPr="006C0750">
        <w:rPr>
          <w:rFonts w:ascii="Times New Roman" w:hAnsi="Times New Roman" w:cs="Times New Roman" w:hint="eastAsia"/>
        </w:rPr>
        <w:t>ig.</w:t>
      </w:r>
      <w:r w:rsidR="0049503C">
        <w:rPr>
          <w:rFonts w:ascii="Times New Roman" w:hAnsi="Times New Roman" w:cs="Times New Roman"/>
        </w:rPr>
        <w:t xml:space="preserve"> 2</w:t>
      </w:r>
      <w:r w:rsidRPr="006C0750">
        <w:rPr>
          <w:rFonts w:ascii="Times New Roman" w:hAnsi="Times New Roman" w:cs="Times New Roman" w:hint="eastAsia"/>
        </w:rPr>
        <w:t>). While this fraction of the two study sites was peculiarly high, which might be resulted from multiple factors. The burial f</w:t>
      </w:r>
      <w:r w:rsidRPr="006C0750">
        <w:rPr>
          <w:rFonts w:ascii="Times New Roman" w:hAnsi="Times New Roman" w:cs="Times New Roman"/>
        </w:rPr>
        <w:t xml:space="preserve">low was constrained by the sedimentation rate measured in Huh et al. (2009) and Hsu et al. (2014). Then, the quantity of this flow is again used as the constraint of the POC flux as the burial efficiency estimated by Hsu et al. (2014). Herein lies the high uncertainty of the burial efficiency. Though the study site in Hsu et al. (2014) is on the Gaoping continental shelf which is close to the GPSC and adjacent slope, this literature source is still accepted as the less strict data (van Ovelen et al., 2010). That is, the reported burial efficiency (24%; Hsu et al.,2014) was set as the lower bound of the constraint, and the upper bound of which was set as 100%. Finally, the quantity of all flow in the whole food web was calculated with the MCMC algorithm considering all biogeochemical constraints in the system. Hence, the </w:t>
      </w:r>
      <w:r w:rsidRPr="006C0750">
        <w:rPr>
          <w:rFonts w:ascii="Times New Roman" w:hAnsi="Times New Roman" w:cs="Times New Roman"/>
        </w:rPr>
        <w:lastRenderedPageBreak/>
        <w:t xml:space="preserve">unusually high burial efficiency is not groundless, and it is a logical outcome under the current model structure and input setting. </w:t>
      </w:r>
    </w:p>
    <w:p w:rsidR="006C0750" w:rsidRPr="006C0750" w:rsidRDefault="006C0750" w:rsidP="006C0750">
      <w:pPr>
        <w:rPr>
          <w:rFonts w:ascii="Times New Roman" w:hAnsi="Times New Roman" w:cs="Times New Roman"/>
        </w:rPr>
      </w:pPr>
      <w:r w:rsidRPr="006C0750">
        <w:rPr>
          <w:rFonts w:ascii="Times New Roman" w:hAnsi="Times New Roman" w:cs="Times New Roman"/>
        </w:rPr>
        <w:t>Submarine canyon head has been considered significant for carbon sink and the process of carbon sequestration. It has been suggested that the burial efficiency in the Nazaré Canyon head be about 30%-80% (Masson et al. 2010) according to different estimation techniques. Furthermore, Krause-Jensen &amp; Duarte (2016) suggests macroalgal detritus can be sequestrated through the burial and transport in the submarine canyon. It has also been reported that the submarine canyon in the northwestern Mediterranean features efficient carbon sequestration through the dense water cascading along with phytoplankton blooms (Canals et al.,2022). As a part of the carbon “source to sink” system, the GPSC not only transports a large amount of matter from the continental shelf to the deep ocean basin but also performs the important function of carbon sequestration.</w:t>
      </w:r>
    </w:p>
    <w:p w:rsidR="006C0750" w:rsidRPr="006C0750" w:rsidRDefault="006C0750" w:rsidP="006C0750">
      <w:pPr>
        <w:rPr>
          <w:rFonts w:ascii="Times New Roman" w:hAnsi="Times New Roman" w:cs="Times New Roman"/>
        </w:rPr>
      </w:pPr>
      <w:r w:rsidRPr="006C0750">
        <w:rPr>
          <w:rFonts w:ascii="Times New Roman" w:hAnsi="Times New Roman" w:cs="Times New Roman"/>
        </w:rPr>
        <w:t>In Taiwan, another often discussed blue carbon ecosystem is the relatively well-studied mangrove area distributed along the western coast. Given the mangrove wetlands locates between rivers downstream and the coastline, mangroves also play a crucial role in carbon sequestration. Owing to their high productivity (Bouillon et al., 2008), the mangroves can store up to 88% of their OC in the deeper sediment (Donato et al., 2011). However, multiple reasons could affect the carbon burial rates in different mangrove ecosystems, such as temperature, seasonal differences (Alongi et al., 2004; Van Santen et al., 20</w:t>
      </w:r>
      <w:r w:rsidR="000720B0">
        <w:rPr>
          <w:rFonts w:ascii="Times New Roman" w:hAnsi="Times New Roman" w:cs="Times New Roman"/>
        </w:rPr>
        <w:t>0</w:t>
      </w:r>
      <w:r w:rsidRPr="006C0750">
        <w:rPr>
          <w:rFonts w:ascii="Times New Roman" w:hAnsi="Times New Roman" w:cs="Times New Roman"/>
        </w:rPr>
        <w:t>7), and hydrological disturbance (Marchio et al., 2016). Li et al. (2018) have reported that the carbon burial rates in Taiwan are much lower than the global average rate, which might be resulted from the faster decomposition process. On the other hand, deforestation and rapid sea-level elevation are major threats to mangroves (Polidoro et al., 2010), causing a 35-86% decline over the past quarter-century (Duke et al., 2007). When mangrove areas become fragmented, their long-term survival is at great risk, and their ecosystem services may functionally disappear. Consequently, it is important to focus on the study of other effective carbon sinks which may help achieve carbon neutrality. The current study revealed the high carbon burial rates in the benthic community in the GPSC, which not only extends our knowledge of ecosystem functioning in this area but also improves the understanding of natural carbon storage in a part of the “S2S” system.</w:t>
      </w:r>
    </w:p>
    <w:p w:rsidR="009B2918" w:rsidRDefault="006C0750" w:rsidP="006C0750">
      <w:pPr>
        <w:rPr>
          <w:rFonts w:ascii="Times New Roman" w:hAnsi="Times New Roman" w:cs="Times New Roman"/>
        </w:rPr>
      </w:pPr>
      <w:r w:rsidRPr="006C0750">
        <w:rPr>
          <w:rFonts w:ascii="Times New Roman" w:hAnsi="Times New Roman" w:cs="Times New Roman"/>
        </w:rPr>
        <w:t>Moreover, investigating the particle fluxes helps us better understand the transfer and fate of materials loads to the deep-sea ecosystem, which may help develop better research strategies for predicting the potential impacts of climate change.</w:t>
      </w:r>
    </w:p>
    <w:p w:rsidR="006C0750" w:rsidRPr="0011222A" w:rsidRDefault="006C0750" w:rsidP="006C0750">
      <w:pPr>
        <w:rPr>
          <w:rFonts w:ascii="Times New Roman" w:hAnsi="Times New Roman" w:cs="Times New Roman"/>
        </w:rPr>
      </w:pPr>
    </w:p>
    <w:p w:rsidR="00733F83" w:rsidRDefault="00733F83" w:rsidP="00733F83">
      <w:pPr>
        <w:rPr>
          <w:rFonts w:ascii="Times New Roman" w:hAnsi="Times New Roman" w:cs="Times New Roman"/>
          <w:b/>
        </w:rPr>
      </w:pPr>
      <w:r>
        <w:rPr>
          <w:rFonts w:ascii="Times New Roman" w:hAnsi="Times New Roman" w:cs="Times New Roman"/>
          <w:b/>
        </w:rPr>
        <w:t>Conclusion</w:t>
      </w:r>
    </w:p>
    <w:p w:rsidR="003A36CA" w:rsidRPr="003A36CA" w:rsidRDefault="003A36CA" w:rsidP="003A36CA">
      <w:pPr>
        <w:rPr>
          <w:rFonts w:ascii="Times New Roman" w:hAnsi="Times New Roman" w:cs="Times New Roman"/>
        </w:rPr>
      </w:pPr>
      <w:r w:rsidRPr="003A36CA">
        <w:rPr>
          <w:rFonts w:ascii="Times New Roman" w:hAnsi="Times New Roman" w:cs="Times New Roman"/>
        </w:rPr>
        <w:t xml:space="preserve">This is the first carbon cycling of the food web model study applied in the GPSC and </w:t>
      </w:r>
      <w:r w:rsidRPr="003A36CA">
        <w:rPr>
          <w:rFonts w:ascii="Times New Roman" w:hAnsi="Times New Roman" w:cs="Times New Roman"/>
        </w:rPr>
        <w:lastRenderedPageBreak/>
        <w:t xml:space="preserve">on the adjacent slope. Moreover, it is the first study applied with the LIM technique in Taiwan. There was no significant difference in each OC stock between different sampling seasons. However, the standing stocks of each compartment in the two habitats were significantly different. In the canyon head, the relatively lower biodiversity and faunal carbon stocks show that this fragile ecosystem is under severe physical perturbation. The model results revealed that the canyon head of the GPSC was mainly dominated by the bacteria-related process. By contrast, the higher contribution of fauna in carbon processing on the adjacent slope presents a relatively mature ecosystem. In addition, our models revealed a higher carbon burial rate in GC1, indicating the GPSC not only transports sediment to the deep SCS but functions as an important role in carbon sequestration. Though our simplified models may ignore the influence of larger size faunas, they effectively quantified the matter and energy transfer across the deep-sea systems which are notoriously difficult to study. </w:t>
      </w:r>
    </w:p>
    <w:p w:rsidR="00962F4B" w:rsidRPr="000077C5" w:rsidRDefault="003A36CA" w:rsidP="003A36CA">
      <w:pPr>
        <w:rPr>
          <w:rFonts w:ascii="Times New Roman" w:hAnsi="Times New Roman" w:cs="Times New Roman"/>
        </w:rPr>
      </w:pPr>
      <w:r w:rsidRPr="003A36CA">
        <w:rPr>
          <w:rFonts w:ascii="Times New Roman" w:hAnsi="Times New Roman" w:cs="Times New Roman"/>
        </w:rPr>
        <w:t>Owing to the ongoing climate change, the geohazards in the submarine canyons might be more frequently triggered as a consequence of new weather systems with a higher intensity of flooding in SMRs. The study of matter and energy transfer in the ocean will help us understand how deep ecosystems are fueled, and determine their capacity to capture and store carbon. By better understanding carbon cycling in submarine canyons like GPSC, we may be able to predict the impact of climate change or human influence on deep-sea ecosystems.</w:t>
      </w:r>
    </w:p>
    <w:sectPr w:rsidR="00962F4B" w:rsidRPr="000077C5" w:rsidSect="00CC437E">
      <w:pgSz w:w="11906" w:h="16838"/>
      <w:pgMar w:top="1440" w:right="1800" w:bottom="1440" w:left="1800" w:header="851" w:footer="992" w:gutter="0"/>
      <w:lnNumType w:countBy="1" w:restart="continuous"/>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969" w:rsidRDefault="009E6969" w:rsidP="00470203">
      <w:r>
        <w:separator/>
      </w:r>
    </w:p>
  </w:endnote>
  <w:endnote w:type="continuationSeparator" w:id="0">
    <w:p w:rsidR="009E6969" w:rsidRDefault="009E6969" w:rsidP="00470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969" w:rsidRDefault="009E6969" w:rsidP="00470203">
      <w:r>
        <w:separator/>
      </w:r>
    </w:p>
  </w:footnote>
  <w:footnote w:type="continuationSeparator" w:id="0">
    <w:p w:rsidR="009E6969" w:rsidRDefault="009E6969" w:rsidP="004702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E7043"/>
    <w:multiLevelType w:val="hybridMultilevel"/>
    <w:tmpl w:val="761A5260"/>
    <w:lvl w:ilvl="0" w:tplc="02B66E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7E"/>
    <w:rsid w:val="00003F7D"/>
    <w:rsid w:val="00004A6D"/>
    <w:rsid w:val="00004BFD"/>
    <w:rsid w:val="000077C5"/>
    <w:rsid w:val="00010C9E"/>
    <w:rsid w:val="0001139F"/>
    <w:rsid w:val="000137EA"/>
    <w:rsid w:val="000166E6"/>
    <w:rsid w:val="00016D30"/>
    <w:rsid w:val="00020C0F"/>
    <w:rsid w:val="00021F1C"/>
    <w:rsid w:val="00023BDA"/>
    <w:rsid w:val="00025907"/>
    <w:rsid w:val="000328CF"/>
    <w:rsid w:val="00033F4E"/>
    <w:rsid w:val="00053301"/>
    <w:rsid w:val="0005413D"/>
    <w:rsid w:val="00055021"/>
    <w:rsid w:val="00057733"/>
    <w:rsid w:val="00057C42"/>
    <w:rsid w:val="00062FD6"/>
    <w:rsid w:val="00064A8E"/>
    <w:rsid w:val="00065A95"/>
    <w:rsid w:val="000661EA"/>
    <w:rsid w:val="00066D80"/>
    <w:rsid w:val="000720B0"/>
    <w:rsid w:val="0007442E"/>
    <w:rsid w:val="000748BA"/>
    <w:rsid w:val="00080FDA"/>
    <w:rsid w:val="000831D1"/>
    <w:rsid w:val="0008515B"/>
    <w:rsid w:val="000867E7"/>
    <w:rsid w:val="00090751"/>
    <w:rsid w:val="000A51D0"/>
    <w:rsid w:val="000A5441"/>
    <w:rsid w:val="000A6C3E"/>
    <w:rsid w:val="000B05CE"/>
    <w:rsid w:val="000B226F"/>
    <w:rsid w:val="000C02A9"/>
    <w:rsid w:val="000C1CE0"/>
    <w:rsid w:val="000C3F1F"/>
    <w:rsid w:val="000C4C22"/>
    <w:rsid w:val="000C6438"/>
    <w:rsid w:val="000D1803"/>
    <w:rsid w:val="000D1D9A"/>
    <w:rsid w:val="000D4247"/>
    <w:rsid w:val="000D7B9B"/>
    <w:rsid w:val="000E2CF8"/>
    <w:rsid w:val="000E3560"/>
    <w:rsid w:val="000E35A0"/>
    <w:rsid w:val="000E6776"/>
    <w:rsid w:val="000E7F63"/>
    <w:rsid w:val="000F0021"/>
    <w:rsid w:val="000F6690"/>
    <w:rsid w:val="00100B74"/>
    <w:rsid w:val="0010231E"/>
    <w:rsid w:val="00107F72"/>
    <w:rsid w:val="0011222A"/>
    <w:rsid w:val="00117FFB"/>
    <w:rsid w:val="00122897"/>
    <w:rsid w:val="00123BB7"/>
    <w:rsid w:val="00127490"/>
    <w:rsid w:val="0013359A"/>
    <w:rsid w:val="00145613"/>
    <w:rsid w:val="0014694E"/>
    <w:rsid w:val="00146CAA"/>
    <w:rsid w:val="00147409"/>
    <w:rsid w:val="001502D5"/>
    <w:rsid w:val="0015605E"/>
    <w:rsid w:val="001619ED"/>
    <w:rsid w:val="00163975"/>
    <w:rsid w:val="00167ABA"/>
    <w:rsid w:val="00167BD5"/>
    <w:rsid w:val="00173EB5"/>
    <w:rsid w:val="001764D3"/>
    <w:rsid w:val="00181509"/>
    <w:rsid w:val="00181C54"/>
    <w:rsid w:val="001839A9"/>
    <w:rsid w:val="001946CB"/>
    <w:rsid w:val="0019682C"/>
    <w:rsid w:val="001A145A"/>
    <w:rsid w:val="001A7415"/>
    <w:rsid w:val="001B1583"/>
    <w:rsid w:val="001B1A70"/>
    <w:rsid w:val="001B678C"/>
    <w:rsid w:val="001C22E7"/>
    <w:rsid w:val="001D145F"/>
    <w:rsid w:val="001D3460"/>
    <w:rsid w:val="001D3F78"/>
    <w:rsid w:val="001D476A"/>
    <w:rsid w:val="001E1E8B"/>
    <w:rsid w:val="001E49D8"/>
    <w:rsid w:val="001E51C4"/>
    <w:rsid w:val="001E5430"/>
    <w:rsid w:val="001E799E"/>
    <w:rsid w:val="001F0DB3"/>
    <w:rsid w:val="001F1045"/>
    <w:rsid w:val="001F7158"/>
    <w:rsid w:val="001F7B97"/>
    <w:rsid w:val="002039B5"/>
    <w:rsid w:val="00210CBF"/>
    <w:rsid w:val="00223A68"/>
    <w:rsid w:val="0022703C"/>
    <w:rsid w:val="002302E3"/>
    <w:rsid w:val="002304A8"/>
    <w:rsid w:val="00230DA4"/>
    <w:rsid w:val="00230FEE"/>
    <w:rsid w:val="00236BEC"/>
    <w:rsid w:val="00240E21"/>
    <w:rsid w:val="00242E03"/>
    <w:rsid w:val="00244D92"/>
    <w:rsid w:val="002455BF"/>
    <w:rsid w:val="0024673A"/>
    <w:rsid w:val="00252345"/>
    <w:rsid w:val="00253B21"/>
    <w:rsid w:val="00260A9A"/>
    <w:rsid w:val="00261F5B"/>
    <w:rsid w:val="00262D25"/>
    <w:rsid w:val="00262DAC"/>
    <w:rsid w:val="002647D0"/>
    <w:rsid w:val="00265616"/>
    <w:rsid w:val="00266036"/>
    <w:rsid w:val="00267A28"/>
    <w:rsid w:val="002724E7"/>
    <w:rsid w:val="00272683"/>
    <w:rsid w:val="00275DD2"/>
    <w:rsid w:val="002768DD"/>
    <w:rsid w:val="00280AAB"/>
    <w:rsid w:val="00281B83"/>
    <w:rsid w:val="002822A2"/>
    <w:rsid w:val="002827BD"/>
    <w:rsid w:val="002830FE"/>
    <w:rsid w:val="00285720"/>
    <w:rsid w:val="00286228"/>
    <w:rsid w:val="002A5654"/>
    <w:rsid w:val="002A5802"/>
    <w:rsid w:val="002A7BA3"/>
    <w:rsid w:val="002B0BDB"/>
    <w:rsid w:val="002B467B"/>
    <w:rsid w:val="002B6308"/>
    <w:rsid w:val="002B638F"/>
    <w:rsid w:val="002C27C0"/>
    <w:rsid w:val="002C4127"/>
    <w:rsid w:val="002C5EFF"/>
    <w:rsid w:val="002C72CA"/>
    <w:rsid w:val="002D27ED"/>
    <w:rsid w:val="002D4806"/>
    <w:rsid w:val="002E4BB6"/>
    <w:rsid w:val="002E6611"/>
    <w:rsid w:val="002E7AF1"/>
    <w:rsid w:val="002F1472"/>
    <w:rsid w:val="002F15A2"/>
    <w:rsid w:val="002F46CB"/>
    <w:rsid w:val="002F639D"/>
    <w:rsid w:val="002F7BAB"/>
    <w:rsid w:val="00300E5B"/>
    <w:rsid w:val="003013DE"/>
    <w:rsid w:val="0030181D"/>
    <w:rsid w:val="0031127B"/>
    <w:rsid w:val="00312126"/>
    <w:rsid w:val="0031634B"/>
    <w:rsid w:val="00317EA1"/>
    <w:rsid w:val="0032033D"/>
    <w:rsid w:val="00321005"/>
    <w:rsid w:val="0032745A"/>
    <w:rsid w:val="0032774A"/>
    <w:rsid w:val="003317FC"/>
    <w:rsid w:val="00332D8C"/>
    <w:rsid w:val="0033690B"/>
    <w:rsid w:val="00344E9D"/>
    <w:rsid w:val="003463A9"/>
    <w:rsid w:val="003478C2"/>
    <w:rsid w:val="00350CBF"/>
    <w:rsid w:val="00350D32"/>
    <w:rsid w:val="003534EB"/>
    <w:rsid w:val="003566D6"/>
    <w:rsid w:val="00360914"/>
    <w:rsid w:val="00361D5A"/>
    <w:rsid w:val="003635B5"/>
    <w:rsid w:val="00365C86"/>
    <w:rsid w:val="0036765F"/>
    <w:rsid w:val="003677D2"/>
    <w:rsid w:val="00370995"/>
    <w:rsid w:val="0037219F"/>
    <w:rsid w:val="00373205"/>
    <w:rsid w:val="003735C6"/>
    <w:rsid w:val="00374267"/>
    <w:rsid w:val="00376F4F"/>
    <w:rsid w:val="00383A65"/>
    <w:rsid w:val="00384878"/>
    <w:rsid w:val="00385C7A"/>
    <w:rsid w:val="00385F8A"/>
    <w:rsid w:val="00386043"/>
    <w:rsid w:val="003A36CA"/>
    <w:rsid w:val="003A3EEB"/>
    <w:rsid w:val="003A46F5"/>
    <w:rsid w:val="003A5BE8"/>
    <w:rsid w:val="003B042F"/>
    <w:rsid w:val="003B1619"/>
    <w:rsid w:val="003B4A13"/>
    <w:rsid w:val="003B7409"/>
    <w:rsid w:val="003C01FB"/>
    <w:rsid w:val="003C0AE7"/>
    <w:rsid w:val="003C6557"/>
    <w:rsid w:val="003C6BA5"/>
    <w:rsid w:val="003D65A6"/>
    <w:rsid w:val="003D779B"/>
    <w:rsid w:val="003E21CC"/>
    <w:rsid w:val="003E4EEE"/>
    <w:rsid w:val="003E58C5"/>
    <w:rsid w:val="003E726B"/>
    <w:rsid w:val="003F4C07"/>
    <w:rsid w:val="003F5445"/>
    <w:rsid w:val="00400C39"/>
    <w:rsid w:val="00401F28"/>
    <w:rsid w:val="0040401C"/>
    <w:rsid w:val="004073C5"/>
    <w:rsid w:val="00414B43"/>
    <w:rsid w:val="00420232"/>
    <w:rsid w:val="0042096A"/>
    <w:rsid w:val="00421DED"/>
    <w:rsid w:val="00424830"/>
    <w:rsid w:val="00426707"/>
    <w:rsid w:val="004311F5"/>
    <w:rsid w:val="00433C44"/>
    <w:rsid w:val="00441B6D"/>
    <w:rsid w:val="004464D0"/>
    <w:rsid w:val="00451C85"/>
    <w:rsid w:val="00452FFD"/>
    <w:rsid w:val="00455FF4"/>
    <w:rsid w:val="00461F4B"/>
    <w:rsid w:val="004632F8"/>
    <w:rsid w:val="0046361F"/>
    <w:rsid w:val="0046428A"/>
    <w:rsid w:val="004671CC"/>
    <w:rsid w:val="0046791E"/>
    <w:rsid w:val="00470203"/>
    <w:rsid w:val="0047317D"/>
    <w:rsid w:val="00475771"/>
    <w:rsid w:val="0048103E"/>
    <w:rsid w:val="00484C1B"/>
    <w:rsid w:val="00487B1A"/>
    <w:rsid w:val="004942CC"/>
    <w:rsid w:val="0049503C"/>
    <w:rsid w:val="004954AF"/>
    <w:rsid w:val="004A0306"/>
    <w:rsid w:val="004A24AE"/>
    <w:rsid w:val="004A2A7B"/>
    <w:rsid w:val="004B2799"/>
    <w:rsid w:val="004B3143"/>
    <w:rsid w:val="004B325C"/>
    <w:rsid w:val="004B53A1"/>
    <w:rsid w:val="004B7D97"/>
    <w:rsid w:val="004C3310"/>
    <w:rsid w:val="004C7266"/>
    <w:rsid w:val="004D3159"/>
    <w:rsid w:val="004E329E"/>
    <w:rsid w:val="004E67DB"/>
    <w:rsid w:val="004E7BFE"/>
    <w:rsid w:val="004F12B0"/>
    <w:rsid w:val="004F1B3B"/>
    <w:rsid w:val="00500C23"/>
    <w:rsid w:val="00501B84"/>
    <w:rsid w:val="00507257"/>
    <w:rsid w:val="00507F8C"/>
    <w:rsid w:val="00510ADE"/>
    <w:rsid w:val="00512AA6"/>
    <w:rsid w:val="00513946"/>
    <w:rsid w:val="00513FE7"/>
    <w:rsid w:val="00514961"/>
    <w:rsid w:val="005213FF"/>
    <w:rsid w:val="005314EF"/>
    <w:rsid w:val="00532E26"/>
    <w:rsid w:val="0054525F"/>
    <w:rsid w:val="00547C5B"/>
    <w:rsid w:val="00547C9F"/>
    <w:rsid w:val="005505F0"/>
    <w:rsid w:val="005532A9"/>
    <w:rsid w:val="00553510"/>
    <w:rsid w:val="00563829"/>
    <w:rsid w:val="00563995"/>
    <w:rsid w:val="0056483B"/>
    <w:rsid w:val="005662C0"/>
    <w:rsid w:val="00571F12"/>
    <w:rsid w:val="005727AD"/>
    <w:rsid w:val="00573139"/>
    <w:rsid w:val="00584400"/>
    <w:rsid w:val="005911AB"/>
    <w:rsid w:val="0059700D"/>
    <w:rsid w:val="005A2551"/>
    <w:rsid w:val="005A57CE"/>
    <w:rsid w:val="005A5841"/>
    <w:rsid w:val="005A67AF"/>
    <w:rsid w:val="005A7467"/>
    <w:rsid w:val="005A7959"/>
    <w:rsid w:val="005A7E8F"/>
    <w:rsid w:val="005B18B1"/>
    <w:rsid w:val="005B3FBD"/>
    <w:rsid w:val="005B54BE"/>
    <w:rsid w:val="005B6A3F"/>
    <w:rsid w:val="005C10D8"/>
    <w:rsid w:val="005C3082"/>
    <w:rsid w:val="005D0605"/>
    <w:rsid w:val="005D372B"/>
    <w:rsid w:val="005E138F"/>
    <w:rsid w:val="005E194A"/>
    <w:rsid w:val="005E3781"/>
    <w:rsid w:val="005E3F38"/>
    <w:rsid w:val="005E5D33"/>
    <w:rsid w:val="005E6341"/>
    <w:rsid w:val="005F405E"/>
    <w:rsid w:val="0060641B"/>
    <w:rsid w:val="00606730"/>
    <w:rsid w:val="006101F4"/>
    <w:rsid w:val="00613251"/>
    <w:rsid w:val="00613E6E"/>
    <w:rsid w:val="0061467B"/>
    <w:rsid w:val="00622572"/>
    <w:rsid w:val="006251A6"/>
    <w:rsid w:val="006269F9"/>
    <w:rsid w:val="00631F27"/>
    <w:rsid w:val="006338B4"/>
    <w:rsid w:val="0063512B"/>
    <w:rsid w:val="00646358"/>
    <w:rsid w:val="00650132"/>
    <w:rsid w:val="006525F4"/>
    <w:rsid w:val="00653172"/>
    <w:rsid w:val="006534C7"/>
    <w:rsid w:val="0065356F"/>
    <w:rsid w:val="00656EA1"/>
    <w:rsid w:val="0066119F"/>
    <w:rsid w:val="00663A5E"/>
    <w:rsid w:val="00663D00"/>
    <w:rsid w:val="00666FDE"/>
    <w:rsid w:val="00677204"/>
    <w:rsid w:val="00682C48"/>
    <w:rsid w:val="0068340F"/>
    <w:rsid w:val="006854F2"/>
    <w:rsid w:val="0068781E"/>
    <w:rsid w:val="006938C6"/>
    <w:rsid w:val="0069463C"/>
    <w:rsid w:val="006A4C80"/>
    <w:rsid w:val="006A6510"/>
    <w:rsid w:val="006A6D11"/>
    <w:rsid w:val="006B08FD"/>
    <w:rsid w:val="006B297F"/>
    <w:rsid w:val="006B2D79"/>
    <w:rsid w:val="006B33C1"/>
    <w:rsid w:val="006B3B75"/>
    <w:rsid w:val="006B77D0"/>
    <w:rsid w:val="006C0750"/>
    <w:rsid w:val="006C22AA"/>
    <w:rsid w:val="006C3A73"/>
    <w:rsid w:val="006C42CF"/>
    <w:rsid w:val="006C4DAA"/>
    <w:rsid w:val="006C59F7"/>
    <w:rsid w:val="006C66B0"/>
    <w:rsid w:val="006D4E4F"/>
    <w:rsid w:val="006E5803"/>
    <w:rsid w:val="006E66BA"/>
    <w:rsid w:val="006E6BC4"/>
    <w:rsid w:val="006F4960"/>
    <w:rsid w:val="006F4CC8"/>
    <w:rsid w:val="006F5A52"/>
    <w:rsid w:val="006F7B15"/>
    <w:rsid w:val="00701760"/>
    <w:rsid w:val="00705C92"/>
    <w:rsid w:val="0070712A"/>
    <w:rsid w:val="007076B4"/>
    <w:rsid w:val="00714F1F"/>
    <w:rsid w:val="0071562D"/>
    <w:rsid w:val="0072160B"/>
    <w:rsid w:val="00721F69"/>
    <w:rsid w:val="00725E70"/>
    <w:rsid w:val="00727CC3"/>
    <w:rsid w:val="00733F83"/>
    <w:rsid w:val="007340FE"/>
    <w:rsid w:val="00734B00"/>
    <w:rsid w:val="00735DDD"/>
    <w:rsid w:val="00742704"/>
    <w:rsid w:val="00747D26"/>
    <w:rsid w:val="00751AF1"/>
    <w:rsid w:val="007544E0"/>
    <w:rsid w:val="00756B0E"/>
    <w:rsid w:val="00761459"/>
    <w:rsid w:val="007769BB"/>
    <w:rsid w:val="00777894"/>
    <w:rsid w:val="00777DF9"/>
    <w:rsid w:val="00783A2E"/>
    <w:rsid w:val="007854B6"/>
    <w:rsid w:val="00787273"/>
    <w:rsid w:val="00787E38"/>
    <w:rsid w:val="007932ED"/>
    <w:rsid w:val="007933CF"/>
    <w:rsid w:val="007A2548"/>
    <w:rsid w:val="007B40E6"/>
    <w:rsid w:val="007B5D05"/>
    <w:rsid w:val="007B7566"/>
    <w:rsid w:val="007C0FE6"/>
    <w:rsid w:val="007C220B"/>
    <w:rsid w:val="007C275B"/>
    <w:rsid w:val="007C75DE"/>
    <w:rsid w:val="007D62DA"/>
    <w:rsid w:val="007D7AB1"/>
    <w:rsid w:val="007E0D85"/>
    <w:rsid w:val="007E2D75"/>
    <w:rsid w:val="0080583D"/>
    <w:rsid w:val="00806348"/>
    <w:rsid w:val="008154AD"/>
    <w:rsid w:val="00815605"/>
    <w:rsid w:val="00820125"/>
    <w:rsid w:val="00822F30"/>
    <w:rsid w:val="008315DC"/>
    <w:rsid w:val="008478C2"/>
    <w:rsid w:val="00851C0C"/>
    <w:rsid w:val="00856316"/>
    <w:rsid w:val="008570FB"/>
    <w:rsid w:val="00861556"/>
    <w:rsid w:val="00872AFB"/>
    <w:rsid w:val="00873A1D"/>
    <w:rsid w:val="00873D24"/>
    <w:rsid w:val="008753D8"/>
    <w:rsid w:val="00882150"/>
    <w:rsid w:val="00882F03"/>
    <w:rsid w:val="00890572"/>
    <w:rsid w:val="00893A74"/>
    <w:rsid w:val="008A16D6"/>
    <w:rsid w:val="008A28B9"/>
    <w:rsid w:val="008A3C86"/>
    <w:rsid w:val="008A457F"/>
    <w:rsid w:val="008B11AE"/>
    <w:rsid w:val="008B3B72"/>
    <w:rsid w:val="008B4E21"/>
    <w:rsid w:val="008B5EE5"/>
    <w:rsid w:val="008B6DC5"/>
    <w:rsid w:val="008B77DA"/>
    <w:rsid w:val="008C0F98"/>
    <w:rsid w:val="008C2D3A"/>
    <w:rsid w:val="008C4375"/>
    <w:rsid w:val="008C53EE"/>
    <w:rsid w:val="008C605F"/>
    <w:rsid w:val="008C62B3"/>
    <w:rsid w:val="008D1B52"/>
    <w:rsid w:val="008D5C2D"/>
    <w:rsid w:val="008E100D"/>
    <w:rsid w:val="008E354E"/>
    <w:rsid w:val="008E654F"/>
    <w:rsid w:val="008E6FA9"/>
    <w:rsid w:val="008F7F72"/>
    <w:rsid w:val="00901BCE"/>
    <w:rsid w:val="00901C97"/>
    <w:rsid w:val="009037AF"/>
    <w:rsid w:val="00905BC5"/>
    <w:rsid w:val="0090703D"/>
    <w:rsid w:val="00907EBA"/>
    <w:rsid w:val="00912637"/>
    <w:rsid w:val="00923FCA"/>
    <w:rsid w:val="009268F8"/>
    <w:rsid w:val="0093012C"/>
    <w:rsid w:val="00931EF6"/>
    <w:rsid w:val="009331DC"/>
    <w:rsid w:val="00936033"/>
    <w:rsid w:val="00937BE9"/>
    <w:rsid w:val="00943751"/>
    <w:rsid w:val="00944BB3"/>
    <w:rsid w:val="009471E3"/>
    <w:rsid w:val="009539D4"/>
    <w:rsid w:val="00954882"/>
    <w:rsid w:val="00962F4B"/>
    <w:rsid w:val="00964E06"/>
    <w:rsid w:val="009652CC"/>
    <w:rsid w:val="00970902"/>
    <w:rsid w:val="009754EF"/>
    <w:rsid w:val="0099743F"/>
    <w:rsid w:val="009979F9"/>
    <w:rsid w:val="00997F19"/>
    <w:rsid w:val="009A13DC"/>
    <w:rsid w:val="009A3810"/>
    <w:rsid w:val="009A622F"/>
    <w:rsid w:val="009B2918"/>
    <w:rsid w:val="009B4171"/>
    <w:rsid w:val="009B5B8E"/>
    <w:rsid w:val="009B6803"/>
    <w:rsid w:val="009C4FE8"/>
    <w:rsid w:val="009D1172"/>
    <w:rsid w:val="009D27FB"/>
    <w:rsid w:val="009D2824"/>
    <w:rsid w:val="009E1419"/>
    <w:rsid w:val="009E3CCC"/>
    <w:rsid w:val="009E6969"/>
    <w:rsid w:val="009F31B9"/>
    <w:rsid w:val="009F399F"/>
    <w:rsid w:val="009F4F46"/>
    <w:rsid w:val="009F64A9"/>
    <w:rsid w:val="00A00D53"/>
    <w:rsid w:val="00A034FC"/>
    <w:rsid w:val="00A059B8"/>
    <w:rsid w:val="00A073F4"/>
    <w:rsid w:val="00A10DCF"/>
    <w:rsid w:val="00A12E58"/>
    <w:rsid w:val="00A135D2"/>
    <w:rsid w:val="00A13BFA"/>
    <w:rsid w:val="00A15657"/>
    <w:rsid w:val="00A229BC"/>
    <w:rsid w:val="00A245C2"/>
    <w:rsid w:val="00A2589C"/>
    <w:rsid w:val="00A31CEF"/>
    <w:rsid w:val="00A46FFD"/>
    <w:rsid w:val="00A507B7"/>
    <w:rsid w:val="00A52834"/>
    <w:rsid w:val="00A55043"/>
    <w:rsid w:val="00A72B3F"/>
    <w:rsid w:val="00A768A0"/>
    <w:rsid w:val="00A82CA0"/>
    <w:rsid w:val="00A90637"/>
    <w:rsid w:val="00A96F88"/>
    <w:rsid w:val="00AA00BE"/>
    <w:rsid w:val="00AA0E7F"/>
    <w:rsid w:val="00AA341F"/>
    <w:rsid w:val="00AA407C"/>
    <w:rsid w:val="00AA771D"/>
    <w:rsid w:val="00AA7C42"/>
    <w:rsid w:val="00AB2E05"/>
    <w:rsid w:val="00AB3E7B"/>
    <w:rsid w:val="00AB5C93"/>
    <w:rsid w:val="00AB76C6"/>
    <w:rsid w:val="00AC0B08"/>
    <w:rsid w:val="00AC149C"/>
    <w:rsid w:val="00AC3E05"/>
    <w:rsid w:val="00AC4A26"/>
    <w:rsid w:val="00AC6947"/>
    <w:rsid w:val="00AC720B"/>
    <w:rsid w:val="00AD584B"/>
    <w:rsid w:val="00AD5FF8"/>
    <w:rsid w:val="00AE3D06"/>
    <w:rsid w:val="00AE3E73"/>
    <w:rsid w:val="00AF098E"/>
    <w:rsid w:val="00AF55E0"/>
    <w:rsid w:val="00AF7B23"/>
    <w:rsid w:val="00AF7B36"/>
    <w:rsid w:val="00B03403"/>
    <w:rsid w:val="00B07BEE"/>
    <w:rsid w:val="00B07CB1"/>
    <w:rsid w:val="00B1596F"/>
    <w:rsid w:val="00B15CAF"/>
    <w:rsid w:val="00B16CF7"/>
    <w:rsid w:val="00B2151D"/>
    <w:rsid w:val="00B24CF7"/>
    <w:rsid w:val="00B2502C"/>
    <w:rsid w:val="00B2626D"/>
    <w:rsid w:val="00B267FF"/>
    <w:rsid w:val="00B27E99"/>
    <w:rsid w:val="00B30E24"/>
    <w:rsid w:val="00B31BDA"/>
    <w:rsid w:val="00B3312E"/>
    <w:rsid w:val="00B40808"/>
    <w:rsid w:val="00B40992"/>
    <w:rsid w:val="00B42C1A"/>
    <w:rsid w:val="00B43081"/>
    <w:rsid w:val="00B5285B"/>
    <w:rsid w:val="00B55A66"/>
    <w:rsid w:val="00B63E72"/>
    <w:rsid w:val="00B65EEB"/>
    <w:rsid w:val="00B7376E"/>
    <w:rsid w:val="00B82459"/>
    <w:rsid w:val="00B873B6"/>
    <w:rsid w:val="00B92550"/>
    <w:rsid w:val="00BA2D40"/>
    <w:rsid w:val="00BA7197"/>
    <w:rsid w:val="00BB20D3"/>
    <w:rsid w:val="00BB41EB"/>
    <w:rsid w:val="00BB5B4B"/>
    <w:rsid w:val="00BB7A86"/>
    <w:rsid w:val="00BB7BA4"/>
    <w:rsid w:val="00BC1218"/>
    <w:rsid w:val="00BC1636"/>
    <w:rsid w:val="00BC7355"/>
    <w:rsid w:val="00BD44B2"/>
    <w:rsid w:val="00BD6BB4"/>
    <w:rsid w:val="00BD6F67"/>
    <w:rsid w:val="00BE3B67"/>
    <w:rsid w:val="00BE5788"/>
    <w:rsid w:val="00BE5BBC"/>
    <w:rsid w:val="00BE7271"/>
    <w:rsid w:val="00BF1A31"/>
    <w:rsid w:val="00BF282C"/>
    <w:rsid w:val="00C01C0D"/>
    <w:rsid w:val="00C03083"/>
    <w:rsid w:val="00C11655"/>
    <w:rsid w:val="00C11AF0"/>
    <w:rsid w:val="00C12C17"/>
    <w:rsid w:val="00C173EA"/>
    <w:rsid w:val="00C17D7F"/>
    <w:rsid w:val="00C24005"/>
    <w:rsid w:val="00C24F35"/>
    <w:rsid w:val="00C255DD"/>
    <w:rsid w:val="00C35665"/>
    <w:rsid w:val="00C36AAA"/>
    <w:rsid w:val="00C41B48"/>
    <w:rsid w:val="00C53C83"/>
    <w:rsid w:val="00C54029"/>
    <w:rsid w:val="00C56F3B"/>
    <w:rsid w:val="00C6156C"/>
    <w:rsid w:val="00C636E2"/>
    <w:rsid w:val="00C63CCE"/>
    <w:rsid w:val="00C70385"/>
    <w:rsid w:val="00C71997"/>
    <w:rsid w:val="00C74D5B"/>
    <w:rsid w:val="00C74D65"/>
    <w:rsid w:val="00C76EC9"/>
    <w:rsid w:val="00C815BD"/>
    <w:rsid w:val="00C83200"/>
    <w:rsid w:val="00C85372"/>
    <w:rsid w:val="00C85A93"/>
    <w:rsid w:val="00C910D8"/>
    <w:rsid w:val="00C91909"/>
    <w:rsid w:val="00C926A2"/>
    <w:rsid w:val="00C9629A"/>
    <w:rsid w:val="00CA185C"/>
    <w:rsid w:val="00CA4B10"/>
    <w:rsid w:val="00CA536B"/>
    <w:rsid w:val="00CA54A9"/>
    <w:rsid w:val="00CA5DD6"/>
    <w:rsid w:val="00CB4A72"/>
    <w:rsid w:val="00CC0634"/>
    <w:rsid w:val="00CC3A20"/>
    <w:rsid w:val="00CC437E"/>
    <w:rsid w:val="00CC58C3"/>
    <w:rsid w:val="00CD34AB"/>
    <w:rsid w:val="00CD7839"/>
    <w:rsid w:val="00CE0EB9"/>
    <w:rsid w:val="00CE5751"/>
    <w:rsid w:val="00CE5DE6"/>
    <w:rsid w:val="00D0016E"/>
    <w:rsid w:val="00D021C2"/>
    <w:rsid w:val="00D11D62"/>
    <w:rsid w:val="00D15830"/>
    <w:rsid w:val="00D1663D"/>
    <w:rsid w:val="00D32307"/>
    <w:rsid w:val="00D32DFF"/>
    <w:rsid w:val="00D40D10"/>
    <w:rsid w:val="00D45640"/>
    <w:rsid w:val="00D524F8"/>
    <w:rsid w:val="00D54FB5"/>
    <w:rsid w:val="00D55BFC"/>
    <w:rsid w:val="00D67F42"/>
    <w:rsid w:val="00D71DA8"/>
    <w:rsid w:val="00D770EE"/>
    <w:rsid w:val="00D85B49"/>
    <w:rsid w:val="00D87A25"/>
    <w:rsid w:val="00D91545"/>
    <w:rsid w:val="00D923E5"/>
    <w:rsid w:val="00D93DCD"/>
    <w:rsid w:val="00D93DF1"/>
    <w:rsid w:val="00D96190"/>
    <w:rsid w:val="00D97032"/>
    <w:rsid w:val="00DA097B"/>
    <w:rsid w:val="00DA17A3"/>
    <w:rsid w:val="00DA6502"/>
    <w:rsid w:val="00DB1203"/>
    <w:rsid w:val="00DB3799"/>
    <w:rsid w:val="00DB670D"/>
    <w:rsid w:val="00DC20AA"/>
    <w:rsid w:val="00DC3249"/>
    <w:rsid w:val="00DC4684"/>
    <w:rsid w:val="00DC649F"/>
    <w:rsid w:val="00DC7CC2"/>
    <w:rsid w:val="00DD074E"/>
    <w:rsid w:val="00DD21F3"/>
    <w:rsid w:val="00DD2C08"/>
    <w:rsid w:val="00DD39F4"/>
    <w:rsid w:val="00DD505A"/>
    <w:rsid w:val="00DD6831"/>
    <w:rsid w:val="00DE47F1"/>
    <w:rsid w:val="00DE6899"/>
    <w:rsid w:val="00DF109B"/>
    <w:rsid w:val="00DF136F"/>
    <w:rsid w:val="00DF3791"/>
    <w:rsid w:val="00E047C3"/>
    <w:rsid w:val="00E078C2"/>
    <w:rsid w:val="00E07992"/>
    <w:rsid w:val="00E1265B"/>
    <w:rsid w:val="00E133B7"/>
    <w:rsid w:val="00E201A1"/>
    <w:rsid w:val="00E20304"/>
    <w:rsid w:val="00E21178"/>
    <w:rsid w:val="00E262D3"/>
    <w:rsid w:val="00E30132"/>
    <w:rsid w:val="00E36C54"/>
    <w:rsid w:val="00E370E6"/>
    <w:rsid w:val="00E4254A"/>
    <w:rsid w:val="00E43174"/>
    <w:rsid w:val="00E4475D"/>
    <w:rsid w:val="00E46734"/>
    <w:rsid w:val="00E500AE"/>
    <w:rsid w:val="00E516AC"/>
    <w:rsid w:val="00E51C6E"/>
    <w:rsid w:val="00E52B52"/>
    <w:rsid w:val="00E52E02"/>
    <w:rsid w:val="00E558C3"/>
    <w:rsid w:val="00E5642F"/>
    <w:rsid w:val="00E61DBB"/>
    <w:rsid w:val="00E65827"/>
    <w:rsid w:val="00E71514"/>
    <w:rsid w:val="00E71A71"/>
    <w:rsid w:val="00E77E94"/>
    <w:rsid w:val="00E84E54"/>
    <w:rsid w:val="00E86644"/>
    <w:rsid w:val="00E961FF"/>
    <w:rsid w:val="00E96FB8"/>
    <w:rsid w:val="00EA2ED0"/>
    <w:rsid w:val="00EB086B"/>
    <w:rsid w:val="00EB72FF"/>
    <w:rsid w:val="00EC0786"/>
    <w:rsid w:val="00EC08B5"/>
    <w:rsid w:val="00EC3733"/>
    <w:rsid w:val="00EC507A"/>
    <w:rsid w:val="00EC5D0C"/>
    <w:rsid w:val="00ED5D92"/>
    <w:rsid w:val="00ED5F06"/>
    <w:rsid w:val="00EE12BF"/>
    <w:rsid w:val="00EE3D9B"/>
    <w:rsid w:val="00EE4CD9"/>
    <w:rsid w:val="00EE6DD7"/>
    <w:rsid w:val="00EF135E"/>
    <w:rsid w:val="00EF2E14"/>
    <w:rsid w:val="00EF6777"/>
    <w:rsid w:val="00F002B1"/>
    <w:rsid w:val="00F03545"/>
    <w:rsid w:val="00F06771"/>
    <w:rsid w:val="00F06D0B"/>
    <w:rsid w:val="00F074BB"/>
    <w:rsid w:val="00F1001A"/>
    <w:rsid w:val="00F11156"/>
    <w:rsid w:val="00F12685"/>
    <w:rsid w:val="00F1320F"/>
    <w:rsid w:val="00F26C74"/>
    <w:rsid w:val="00F305FB"/>
    <w:rsid w:val="00F30B8A"/>
    <w:rsid w:val="00F30F92"/>
    <w:rsid w:val="00F316B8"/>
    <w:rsid w:val="00F32E27"/>
    <w:rsid w:val="00F3529D"/>
    <w:rsid w:val="00F46851"/>
    <w:rsid w:val="00F47750"/>
    <w:rsid w:val="00F52A48"/>
    <w:rsid w:val="00F65BFC"/>
    <w:rsid w:val="00F67B7E"/>
    <w:rsid w:val="00F701CA"/>
    <w:rsid w:val="00F70232"/>
    <w:rsid w:val="00F70EB6"/>
    <w:rsid w:val="00F747D8"/>
    <w:rsid w:val="00F81A52"/>
    <w:rsid w:val="00F81CB4"/>
    <w:rsid w:val="00F86A09"/>
    <w:rsid w:val="00F92E20"/>
    <w:rsid w:val="00F9640C"/>
    <w:rsid w:val="00FA0921"/>
    <w:rsid w:val="00FA23DB"/>
    <w:rsid w:val="00FA454C"/>
    <w:rsid w:val="00FA6E8B"/>
    <w:rsid w:val="00FA7C0C"/>
    <w:rsid w:val="00FB2E1F"/>
    <w:rsid w:val="00FB51C3"/>
    <w:rsid w:val="00FB64C2"/>
    <w:rsid w:val="00FB7809"/>
    <w:rsid w:val="00FB7BC8"/>
    <w:rsid w:val="00FC3A2F"/>
    <w:rsid w:val="00FC3F56"/>
    <w:rsid w:val="00FC602D"/>
    <w:rsid w:val="00FC6AE3"/>
    <w:rsid w:val="00FD4098"/>
    <w:rsid w:val="00FE118E"/>
    <w:rsid w:val="00FE3F56"/>
    <w:rsid w:val="00FF0C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2F3C1"/>
  <w15:chartTrackingRefBased/>
  <w15:docId w15:val="{417C8057-A6E9-4F86-81A8-B9614E22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37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CC437E"/>
  </w:style>
  <w:style w:type="paragraph" w:styleId="a4">
    <w:name w:val="header"/>
    <w:basedOn w:val="a"/>
    <w:link w:val="a5"/>
    <w:uiPriority w:val="99"/>
    <w:unhideWhenUsed/>
    <w:rsid w:val="00470203"/>
    <w:pPr>
      <w:tabs>
        <w:tab w:val="center" w:pos="4153"/>
        <w:tab w:val="right" w:pos="8306"/>
      </w:tabs>
      <w:snapToGrid w:val="0"/>
    </w:pPr>
    <w:rPr>
      <w:sz w:val="20"/>
      <w:szCs w:val="20"/>
    </w:rPr>
  </w:style>
  <w:style w:type="character" w:customStyle="1" w:styleId="a5">
    <w:name w:val="頁首 字元"/>
    <w:basedOn w:val="a0"/>
    <w:link w:val="a4"/>
    <w:uiPriority w:val="99"/>
    <w:rsid w:val="00470203"/>
    <w:rPr>
      <w:sz w:val="20"/>
      <w:szCs w:val="20"/>
    </w:rPr>
  </w:style>
  <w:style w:type="paragraph" w:styleId="a6">
    <w:name w:val="footer"/>
    <w:basedOn w:val="a"/>
    <w:link w:val="a7"/>
    <w:uiPriority w:val="99"/>
    <w:unhideWhenUsed/>
    <w:rsid w:val="00470203"/>
    <w:pPr>
      <w:tabs>
        <w:tab w:val="center" w:pos="4153"/>
        <w:tab w:val="right" w:pos="8306"/>
      </w:tabs>
      <w:snapToGrid w:val="0"/>
    </w:pPr>
    <w:rPr>
      <w:sz w:val="20"/>
      <w:szCs w:val="20"/>
    </w:rPr>
  </w:style>
  <w:style w:type="character" w:customStyle="1" w:styleId="a7">
    <w:name w:val="頁尾 字元"/>
    <w:basedOn w:val="a0"/>
    <w:link w:val="a6"/>
    <w:uiPriority w:val="99"/>
    <w:rsid w:val="00470203"/>
    <w:rPr>
      <w:sz w:val="20"/>
      <w:szCs w:val="20"/>
    </w:rPr>
  </w:style>
  <w:style w:type="paragraph" w:styleId="Web">
    <w:name w:val="Normal (Web)"/>
    <w:basedOn w:val="a"/>
    <w:uiPriority w:val="99"/>
    <w:semiHidden/>
    <w:unhideWhenUsed/>
    <w:rsid w:val="00004BFD"/>
    <w:pPr>
      <w:widowControl/>
      <w:spacing w:before="100" w:beforeAutospacing="1" w:after="100" w:afterAutospacing="1"/>
    </w:pPr>
    <w:rPr>
      <w:rFonts w:ascii="新細明體" w:eastAsia="新細明體" w:hAnsi="新細明體" w:cs="新細明體"/>
      <w:kern w:val="0"/>
      <w:szCs w:val="24"/>
    </w:rPr>
  </w:style>
  <w:style w:type="paragraph" w:styleId="a8">
    <w:name w:val="List Paragraph"/>
    <w:basedOn w:val="a"/>
    <w:link w:val="a9"/>
    <w:uiPriority w:val="34"/>
    <w:qFormat/>
    <w:rsid w:val="0031634B"/>
    <w:pPr>
      <w:ind w:leftChars="200" w:left="480"/>
    </w:pPr>
  </w:style>
  <w:style w:type="character" w:customStyle="1" w:styleId="a9">
    <w:name w:val="清單段落 字元"/>
    <w:basedOn w:val="a0"/>
    <w:link w:val="a8"/>
    <w:uiPriority w:val="34"/>
    <w:rsid w:val="003A5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442306">
      <w:bodyDiv w:val="1"/>
      <w:marLeft w:val="0"/>
      <w:marRight w:val="0"/>
      <w:marTop w:val="0"/>
      <w:marBottom w:val="0"/>
      <w:divBdr>
        <w:top w:val="none" w:sz="0" w:space="0" w:color="auto"/>
        <w:left w:val="none" w:sz="0" w:space="0" w:color="auto"/>
        <w:bottom w:val="none" w:sz="0" w:space="0" w:color="auto"/>
        <w:right w:val="none" w:sz="0" w:space="0" w:color="auto"/>
      </w:divBdr>
    </w:div>
    <w:div w:id="723138231">
      <w:bodyDiv w:val="1"/>
      <w:marLeft w:val="0"/>
      <w:marRight w:val="0"/>
      <w:marTop w:val="0"/>
      <w:marBottom w:val="0"/>
      <w:divBdr>
        <w:top w:val="none" w:sz="0" w:space="0" w:color="auto"/>
        <w:left w:val="none" w:sz="0" w:space="0" w:color="auto"/>
        <w:bottom w:val="none" w:sz="0" w:space="0" w:color="auto"/>
        <w:right w:val="none" w:sz="0" w:space="0" w:color="auto"/>
      </w:divBdr>
    </w:div>
    <w:div w:id="1538546347">
      <w:bodyDiv w:val="1"/>
      <w:marLeft w:val="0"/>
      <w:marRight w:val="0"/>
      <w:marTop w:val="0"/>
      <w:marBottom w:val="0"/>
      <w:divBdr>
        <w:top w:val="none" w:sz="0" w:space="0" w:color="auto"/>
        <w:left w:val="none" w:sz="0" w:space="0" w:color="auto"/>
        <w:bottom w:val="none" w:sz="0" w:space="0" w:color="auto"/>
        <w:right w:val="none" w:sz="0" w:space="0" w:color="auto"/>
      </w:divBdr>
    </w:div>
    <w:div w:id="20619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2AD7D-980E-45C4-B0F0-884EEE311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26806</TotalTime>
  <Pages>10</Pages>
  <Words>4176</Words>
  <Characters>23804</Characters>
  <Application>Microsoft Office Word</Application>
  <DocSecurity>0</DocSecurity>
  <Lines>198</Lines>
  <Paragraphs>55</Paragraphs>
  <ScaleCrop>false</ScaleCrop>
  <Company/>
  <LinksUpToDate>false</LinksUpToDate>
  <CharactersWithSpaces>27925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169</cp:revision>
  <dcterms:created xsi:type="dcterms:W3CDTF">2022-04-04T15:51:00Z</dcterms:created>
  <dcterms:modified xsi:type="dcterms:W3CDTF">2022-06-28T13:06:00Z</dcterms:modified>
</cp:coreProperties>
</file>