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77777777" w:rsidR="00050EA6" w:rsidRPr="00892A9E" w:rsidRDefault="00050EA6" w:rsidP="00881D94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</w:t>
            </w:r>
            <w:proofErr w:type="gramStart"/>
            <w:r>
              <w:rPr>
                <w:rFonts w:ascii="Times New Roman" w:hAnsi="Times New Roman" w:cs="Times New Roman"/>
                <w:szCs w:val="20"/>
                <w:lang w:val="en-GB"/>
              </w:rPr>
              <w:t>  )</w:t>
            </w:r>
            <w:proofErr w:type="gramEnd"/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4AF8896F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proofErr w:type="gram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child.name</w:t>
            </w:r>
            <w:proofErr w:type="gram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.first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%}(to be called {{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}}){%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47A10830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</w:t>
            </w:r>
            <w:r w:rsidR="00AE4136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apply for the following orders:</w:t>
            </w:r>
          </w:p>
          <w:p w14:paraId="079B310C" w14:textId="0137972F" w:rsidR="00050EA6" w:rsidRDefault="00050EA6" w:rsidP="001F3031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proofErr w:type="gram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</w:t>
            </w:r>
            <w:proofErr w:type="gram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.first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%}to be called {{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}}{%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08603F5D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F3031" w:rsidRPr="001F3031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he applicant</w:t>
            </w:r>
            <w:r w:rsidR="00AE4136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be authorised to adopt the said infant,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child.name.first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%}to be called {{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}}{%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%},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 born on 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child.birthdate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which date is identical with the entry numbered 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child.birthcertificate_number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}} 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 made on 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child.birthcertificate_date</w:t>
            </w:r>
            <w:proofErr w:type="spellEnd"/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 xml:space="preserve"> }}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Register of Births for the Republic of Singapore.</w:t>
            </w:r>
          </w:p>
          <w:p w14:paraId="024CB707" w14:textId="1FE2CF4A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F3031" w:rsidRPr="001F3031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applicant</w:t>
            </w:r>
            <w:r w:rsidR="00AE4136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pay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0C2CDCF4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</w:t>
            </w:r>
            <w:r w:rsidR="00AE4136">
              <w:rPr>
                <w:rFonts w:ascii="Times New Roman" w:hAnsi="Times New Roman" w:cs="Times New Roman"/>
                <w:szCs w:val="20"/>
                <w:lang w:val="en-GB"/>
              </w:rPr>
              <w:t>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who reside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applicant.address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{% if not </w:t>
            </w:r>
            <w:proofErr w:type="spellStart"/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>mailing_address</w:t>
            </w:r>
            <w:proofErr w:type="spellEnd"/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%}and whose address for service is {{ </w:t>
            </w:r>
            <w:proofErr w:type="spellStart"/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>applicant.address.mailing</w:t>
            </w:r>
            <w:proofErr w:type="spellEnd"/>
            <w:r w:rsidR="00BB6300">
              <w:rPr>
                <w:rFonts w:ascii="Times New Roman" w:hAnsi="Times New Roman" w:cs="Times New Roman"/>
                <w:szCs w:val="20"/>
                <w:lang w:val="en-GB"/>
              </w:rPr>
              <w:t xml:space="preserve"> }}{% endif %}</w:t>
            </w:r>
            <w:r w:rsidR="00A65B48"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1F3031"/>
    <w:rsid w:val="003D3BE7"/>
    <w:rsid w:val="00606EFC"/>
    <w:rsid w:val="007E63BE"/>
    <w:rsid w:val="00864ACF"/>
    <w:rsid w:val="0093067D"/>
    <w:rsid w:val="00A65B48"/>
    <w:rsid w:val="00AE4136"/>
    <w:rsid w:val="00B0279B"/>
    <w:rsid w:val="00B63E30"/>
    <w:rsid w:val="00B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ZHANG Yuqian</cp:lastModifiedBy>
  <cp:revision>5</cp:revision>
  <dcterms:created xsi:type="dcterms:W3CDTF">2020-10-27T02:52:00Z</dcterms:created>
  <dcterms:modified xsi:type="dcterms:W3CDTF">2020-10-27T03:42:00Z</dcterms:modified>
</cp:coreProperties>
</file>