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szCs w:val="21"/>
        </w:rPr>
      </w:pPr>
      <w:r>
        <w:rPr>
          <w:rFonts w:asciiTheme="minorEastAsia" w:hAnsiTheme="minorEastAsia"/>
          <w:szCs w:val="21"/>
        </w:rPr>
        <w:t>2</w:t>
      </w:r>
      <w:r>
        <w:rPr>
          <w:rFonts w:hint="eastAsia" w:asciiTheme="minorEastAsia" w:hAnsiTheme="minorEastAsia"/>
          <w:szCs w:val="21"/>
        </w:rPr>
        <w:t xml:space="preserve">  京津冀地区居民文化消费总量研究</w:t>
      </w:r>
    </w:p>
    <w:p>
      <w:pPr>
        <w:rPr>
          <w:rFonts w:asciiTheme="minorEastAsia" w:hAnsiTheme="minorEastAsia"/>
          <w:sz w:val="18"/>
          <w:szCs w:val="18"/>
        </w:rPr>
      </w:pPr>
      <w:r>
        <w:rPr>
          <w:rFonts w:hint="eastAsia"/>
        </w:rPr>
        <w:t xml:space="preserve">    </w:t>
      </w:r>
      <w:r>
        <w:rPr>
          <w:rFonts w:hint="eastAsia" w:asciiTheme="minorEastAsia" w:hAnsiTheme="minorEastAsia"/>
          <w:sz w:val="18"/>
          <w:szCs w:val="18"/>
        </w:rPr>
        <w:t>文化消费是指用文化产品或服务来满足人们精神需求的一种消费，主要包括教育、文化娱乐、体育健身、旅游观光等方面。本研究是从三省市文化消费总量，选取北京、天津、石家庄、保定四个代表性城市居民作为调查对象，进行区域文化消费市场的定量研究，以期探究区域内居民文化消费习惯与倾向，从而有针对性引导培育文化消费市场，推动产业区域化整合及协同发展，本研究每个城市随机发放问卷200份，共发放问卷800份，经严格筛选，共收集有效问卷723份，其中北京有效问卷178份，天津有效问卷168份，石家庄有效200份，保定有效问卷177份。</w:t>
      </w:r>
    </w:p>
    <w:p/>
    <w:p>
      <w:pPr>
        <w:rPr>
          <w:rFonts w:asciiTheme="minorEastAsia" w:hAnsiTheme="minorEastAsia"/>
        </w:rPr>
      </w:pPr>
      <w:r>
        <w:rPr>
          <w:rFonts w:hint="eastAsia" w:asciiTheme="minorEastAsia" w:hAnsiTheme="minorEastAsia"/>
        </w:rPr>
        <w:t>2.1 京津冀各地区居民每月文化消费次数调研结果</w:t>
      </w:r>
    </w:p>
    <w:p>
      <w:pPr>
        <w:ind w:firstLine="420"/>
        <w:rPr>
          <w:sz w:val="18"/>
          <w:szCs w:val="18"/>
        </w:rPr>
      </w:pPr>
      <w:r>
        <w:rPr>
          <w:rFonts w:hint="eastAsia"/>
          <w:sz w:val="18"/>
          <w:szCs w:val="18"/>
        </w:rPr>
        <w:t>经过对京津冀各地区居民每月文化消费次数调研，可发现各个城市均有很大比例的居民对自己每月文化消费次数没有明确次数；北京在确定每月文化消费次数中四次以上占比居多；天津、石家庄、保定在确定每月文化消费次数中二次以上占比居多。该调研结果表明，虽然京津冀地区人缘相亲，文化一脉，但是各区域文化消费情况却各有区别，且均有较大待开发潜力，所以有针对性引导培育文化消费市场对提高居民文化消费很有价值，其次北京与其他地区协同发展对京津冀共同发展有重要意义。</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城市</w:t>
            </w:r>
          </w:p>
        </w:tc>
        <w:tc>
          <w:tcPr>
            <w:tcW w:w="1217" w:type="dxa"/>
          </w:tcPr>
          <w:p>
            <w:pPr>
              <w:jc w:val="center"/>
              <w:rPr>
                <w:sz w:val="15"/>
                <w:szCs w:val="15"/>
              </w:rPr>
            </w:pPr>
            <w:r>
              <w:rPr>
                <w:rFonts w:hint="eastAsia"/>
                <w:sz w:val="15"/>
                <w:szCs w:val="15"/>
              </w:rPr>
              <w:t>一次占比</w:t>
            </w:r>
          </w:p>
        </w:tc>
        <w:tc>
          <w:tcPr>
            <w:tcW w:w="1217" w:type="dxa"/>
          </w:tcPr>
          <w:p>
            <w:pPr>
              <w:jc w:val="center"/>
              <w:rPr>
                <w:sz w:val="15"/>
                <w:szCs w:val="15"/>
              </w:rPr>
            </w:pPr>
            <w:r>
              <w:rPr>
                <w:rFonts w:hint="eastAsia"/>
                <w:sz w:val="15"/>
                <w:szCs w:val="15"/>
              </w:rPr>
              <w:t>二次占比</w:t>
            </w:r>
          </w:p>
        </w:tc>
        <w:tc>
          <w:tcPr>
            <w:tcW w:w="1217" w:type="dxa"/>
          </w:tcPr>
          <w:p>
            <w:pPr>
              <w:jc w:val="center"/>
              <w:rPr>
                <w:sz w:val="15"/>
                <w:szCs w:val="15"/>
              </w:rPr>
            </w:pPr>
            <w:r>
              <w:rPr>
                <w:rFonts w:hint="eastAsia"/>
                <w:sz w:val="15"/>
                <w:szCs w:val="15"/>
              </w:rPr>
              <w:t>三次占比</w:t>
            </w:r>
          </w:p>
        </w:tc>
        <w:tc>
          <w:tcPr>
            <w:tcW w:w="1218" w:type="dxa"/>
          </w:tcPr>
          <w:p>
            <w:pPr>
              <w:jc w:val="center"/>
              <w:rPr>
                <w:sz w:val="15"/>
                <w:szCs w:val="15"/>
              </w:rPr>
            </w:pPr>
            <w:r>
              <w:rPr>
                <w:rFonts w:hint="eastAsia"/>
                <w:sz w:val="15"/>
                <w:szCs w:val="15"/>
              </w:rPr>
              <w:t>四次占比</w:t>
            </w:r>
          </w:p>
        </w:tc>
        <w:tc>
          <w:tcPr>
            <w:tcW w:w="1218" w:type="dxa"/>
          </w:tcPr>
          <w:p>
            <w:pPr>
              <w:jc w:val="center"/>
              <w:rPr>
                <w:sz w:val="15"/>
                <w:szCs w:val="15"/>
              </w:rPr>
            </w:pPr>
            <w:r>
              <w:rPr>
                <w:rFonts w:hint="eastAsia"/>
                <w:sz w:val="15"/>
                <w:szCs w:val="15"/>
              </w:rPr>
              <w:t>四次以上占比</w:t>
            </w:r>
          </w:p>
        </w:tc>
        <w:tc>
          <w:tcPr>
            <w:tcW w:w="1218" w:type="dxa"/>
          </w:tcPr>
          <w:p>
            <w:pPr>
              <w:jc w:val="center"/>
              <w:rPr>
                <w:sz w:val="15"/>
                <w:szCs w:val="15"/>
              </w:rPr>
            </w:pPr>
            <w:r>
              <w:rPr>
                <w:rFonts w:hint="eastAsia"/>
                <w:sz w:val="15"/>
                <w:szCs w:val="15"/>
              </w:rPr>
              <w:t>不一定占比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北京</w:t>
            </w:r>
          </w:p>
        </w:tc>
        <w:tc>
          <w:tcPr>
            <w:tcW w:w="1217" w:type="dxa"/>
          </w:tcPr>
          <w:p>
            <w:pPr>
              <w:jc w:val="center"/>
              <w:rPr>
                <w:sz w:val="15"/>
                <w:szCs w:val="15"/>
              </w:rPr>
            </w:pPr>
            <w:r>
              <w:rPr>
                <w:sz w:val="15"/>
                <w:szCs w:val="15"/>
              </w:rPr>
              <w:t>11.24%</w:t>
            </w:r>
          </w:p>
        </w:tc>
        <w:tc>
          <w:tcPr>
            <w:tcW w:w="1217" w:type="dxa"/>
          </w:tcPr>
          <w:p>
            <w:pPr>
              <w:jc w:val="center"/>
              <w:rPr>
                <w:sz w:val="15"/>
                <w:szCs w:val="15"/>
              </w:rPr>
            </w:pPr>
            <w:r>
              <w:rPr>
                <w:sz w:val="15"/>
                <w:szCs w:val="15"/>
              </w:rPr>
              <w:t>11.8%</w:t>
            </w:r>
          </w:p>
        </w:tc>
        <w:tc>
          <w:tcPr>
            <w:tcW w:w="1217" w:type="dxa"/>
          </w:tcPr>
          <w:p>
            <w:pPr>
              <w:jc w:val="center"/>
              <w:rPr>
                <w:sz w:val="15"/>
                <w:szCs w:val="15"/>
              </w:rPr>
            </w:pPr>
            <w:r>
              <w:rPr>
                <w:sz w:val="15"/>
                <w:szCs w:val="15"/>
              </w:rPr>
              <w:t>10.67%</w:t>
            </w:r>
          </w:p>
        </w:tc>
        <w:tc>
          <w:tcPr>
            <w:tcW w:w="1218" w:type="dxa"/>
          </w:tcPr>
          <w:p>
            <w:pPr>
              <w:jc w:val="center"/>
              <w:rPr>
                <w:sz w:val="15"/>
                <w:szCs w:val="15"/>
              </w:rPr>
            </w:pPr>
            <w:r>
              <w:rPr>
                <w:sz w:val="15"/>
                <w:szCs w:val="15"/>
              </w:rPr>
              <w:t>2.25%</w:t>
            </w:r>
          </w:p>
        </w:tc>
        <w:tc>
          <w:tcPr>
            <w:tcW w:w="1218" w:type="dxa"/>
          </w:tcPr>
          <w:p>
            <w:pPr>
              <w:jc w:val="center"/>
              <w:rPr>
                <w:sz w:val="15"/>
                <w:szCs w:val="15"/>
              </w:rPr>
            </w:pPr>
            <w:r>
              <w:rPr>
                <w:sz w:val="15"/>
                <w:szCs w:val="15"/>
              </w:rPr>
              <w:t>16.29%</w:t>
            </w:r>
          </w:p>
        </w:tc>
        <w:tc>
          <w:tcPr>
            <w:tcW w:w="1218" w:type="dxa"/>
          </w:tcPr>
          <w:p>
            <w:pPr>
              <w:jc w:val="center"/>
              <w:rPr>
                <w:sz w:val="15"/>
                <w:szCs w:val="15"/>
              </w:rPr>
            </w:pPr>
            <w:r>
              <w:rPr>
                <w:sz w:val="15"/>
                <w:szCs w:val="15"/>
              </w:rPr>
              <w:t>47.75%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天津</w:t>
            </w:r>
          </w:p>
        </w:tc>
        <w:tc>
          <w:tcPr>
            <w:tcW w:w="1217" w:type="dxa"/>
          </w:tcPr>
          <w:p>
            <w:pPr>
              <w:jc w:val="center"/>
              <w:rPr>
                <w:sz w:val="15"/>
                <w:szCs w:val="15"/>
              </w:rPr>
            </w:pPr>
            <w:r>
              <w:rPr>
                <w:sz w:val="15"/>
                <w:szCs w:val="15"/>
              </w:rPr>
              <w:t>10.12%</w:t>
            </w:r>
          </w:p>
        </w:tc>
        <w:tc>
          <w:tcPr>
            <w:tcW w:w="1217" w:type="dxa"/>
          </w:tcPr>
          <w:p>
            <w:pPr>
              <w:jc w:val="center"/>
              <w:rPr>
                <w:sz w:val="15"/>
                <w:szCs w:val="15"/>
              </w:rPr>
            </w:pPr>
            <w:r>
              <w:rPr>
                <w:sz w:val="15"/>
                <w:szCs w:val="15"/>
              </w:rPr>
              <w:t>20.24%</w:t>
            </w:r>
          </w:p>
        </w:tc>
        <w:tc>
          <w:tcPr>
            <w:tcW w:w="1217" w:type="dxa"/>
          </w:tcPr>
          <w:p>
            <w:pPr>
              <w:jc w:val="center"/>
              <w:rPr>
                <w:sz w:val="15"/>
                <w:szCs w:val="15"/>
              </w:rPr>
            </w:pPr>
            <w:r>
              <w:rPr>
                <w:sz w:val="15"/>
                <w:szCs w:val="15"/>
              </w:rPr>
              <w:t>11.9%</w:t>
            </w:r>
          </w:p>
        </w:tc>
        <w:tc>
          <w:tcPr>
            <w:tcW w:w="1218" w:type="dxa"/>
          </w:tcPr>
          <w:p>
            <w:pPr>
              <w:jc w:val="center"/>
              <w:rPr>
                <w:sz w:val="15"/>
                <w:szCs w:val="15"/>
              </w:rPr>
            </w:pPr>
            <w:r>
              <w:rPr>
                <w:sz w:val="15"/>
                <w:szCs w:val="15"/>
              </w:rPr>
              <w:t>9.52%</w:t>
            </w:r>
          </w:p>
        </w:tc>
        <w:tc>
          <w:tcPr>
            <w:tcW w:w="1218" w:type="dxa"/>
          </w:tcPr>
          <w:p>
            <w:pPr>
              <w:jc w:val="center"/>
              <w:rPr>
                <w:sz w:val="15"/>
                <w:szCs w:val="15"/>
              </w:rPr>
            </w:pPr>
            <w:r>
              <w:rPr>
                <w:sz w:val="15"/>
                <w:szCs w:val="15"/>
              </w:rPr>
              <w:t>11.9%</w:t>
            </w:r>
          </w:p>
        </w:tc>
        <w:tc>
          <w:tcPr>
            <w:tcW w:w="1218" w:type="dxa"/>
          </w:tcPr>
          <w:p>
            <w:pPr>
              <w:jc w:val="center"/>
              <w:rPr>
                <w:sz w:val="15"/>
                <w:szCs w:val="15"/>
              </w:rPr>
            </w:pPr>
            <w:r>
              <w:rPr>
                <w:sz w:val="15"/>
                <w:szCs w:val="15"/>
              </w:rPr>
              <w:t>36.31%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石家庄</w:t>
            </w:r>
          </w:p>
        </w:tc>
        <w:tc>
          <w:tcPr>
            <w:tcW w:w="1217" w:type="dxa"/>
          </w:tcPr>
          <w:p>
            <w:pPr>
              <w:jc w:val="center"/>
              <w:rPr>
                <w:sz w:val="15"/>
                <w:szCs w:val="15"/>
              </w:rPr>
            </w:pPr>
            <w:r>
              <w:rPr>
                <w:sz w:val="15"/>
                <w:szCs w:val="15"/>
              </w:rPr>
              <w:t>8.0%</w:t>
            </w:r>
          </w:p>
        </w:tc>
        <w:tc>
          <w:tcPr>
            <w:tcW w:w="1217" w:type="dxa"/>
          </w:tcPr>
          <w:p>
            <w:pPr>
              <w:jc w:val="center"/>
              <w:rPr>
                <w:sz w:val="15"/>
                <w:szCs w:val="15"/>
              </w:rPr>
            </w:pPr>
            <w:r>
              <w:rPr>
                <w:sz w:val="15"/>
                <w:szCs w:val="15"/>
              </w:rPr>
              <w:t>17.0%</w:t>
            </w:r>
          </w:p>
        </w:tc>
        <w:tc>
          <w:tcPr>
            <w:tcW w:w="1217" w:type="dxa"/>
          </w:tcPr>
          <w:p>
            <w:pPr>
              <w:jc w:val="center"/>
              <w:rPr>
                <w:sz w:val="15"/>
                <w:szCs w:val="15"/>
              </w:rPr>
            </w:pPr>
            <w:r>
              <w:rPr>
                <w:sz w:val="15"/>
                <w:szCs w:val="15"/>
              </w:rPr>
              <w:t>12.5%</w:t>
            </w:r>
          </w:p>
        </w:tc>
        <w:tc>
          <w:tcPr>
            <w:tcW w:w="1218" w:type="dxa"/>
          </w:tcPr>
          <w:p>
            <w:pPr>
              <w:jc w:val="center"/>
              <w:rPr>
                <w:sz w:val="15"/>
                <w:szCs w:val="15"/>
              </w:rPr>
            </w:pPr>
            <w:r>
              <w:rPr>
                <w:sz w:val="15"/>
                <w:szCs w:val="15"/>
              </w:rPr>
              <w:t>10.5%</w:t>
            </w:r>
          </w:p>
        </w:tc>
        <w:tc>
          <w:tcPr>
            <w:tcW w:w="1218" w:type="dxa"/>
          </w:tcPr>
          <w:p>
            <w:pPr>
              <w:jc w:val="center"/>
              <w:rPr>
                <w:sz w:val="15"/>
                <w:szCs w:val="15"/>
              </w:rPr>
            </w:pPr>
            <w:r>
              <w:rPr>
                <w:sz w:val="15"/>
                <w:szCs w:val="15"/>
              </w:rPr>
              <w:t>16.0%</w:t>
            </w:r>
          </w:p>
        </w:tc>
        <w:tc>
          <w:tcPr>
            <w:tcW w:w="1218" w:type="dxa"/>
          </w:tcPr>
          <w:p>
            <w:pPr>
              <w:jc w:val="center"/>
              <w:rPr>
                <w:sz w:val="15"/>
                <w:szCs w:val="15"/>
              </w:rPr>
            </w:pPr>
            <w:r>
              <w:rPr>
                <w:sz w:val="15"/>
                <w:szCs w:val="15"/>
              </w:rP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保定</w:t>
            </w:r>
          </w:p>
        </w:tc>
        <w:tc>
          <w:tcPr>
            <w:tcW w:w="1217" w:type="dxa"/>
          </w:tcPr>
          <w:p>
            <w:pPr>
              <w:jc w:val="center"/>
              <w:rPr>
                <w:sz w:val="15"/>
                <w:szCs w:val="15"/>
              </w:rPr>
            </w:pPr>
            <w:r>
              <w:rPr>
                <w:sz w:val="15"/>
                <w:szCs w:val="15"/>
              </w:rPr>
              <w:t>6.21%</w:t>
            </w:r>
          </w:p>
        </w:tc>
        <w:tc>
          <w:tcPr>
            <w:tcW w:w="1217" w:type="dxa"/>
          </w:tcPr>
          <w:p>
            <w:pPr>
              <w:jc w:val="center"/>
              <w:rPr>
                <w:sz w:val="15"/>
                <w:szCs w:val="15"/>
              </w:rPr>
            </w:pPr>
            <w:r>
              <w:rPr>
                <w:sz w:val="15"/>
                <w:szCs w:val="15"/>
              </w:rPr>
              <w:t>10.73%</w:t>
            </w:r>
          </w:p>
        </w:tc>
        <w:tc>
          <w:tcPr>
            <w:tcW w:w="1217" w:type="dxa"/>
          </w:tcPr>
          <w:p>
            <w:pPr>
              <w:jc w:val="center"/>
              <w:rPr>
                <w:sz w:val="15"/>
                <w:szCs w:val="15"/>
              </w:rPr>
            </w:pPr>
            <w:r>
              <w:rPr>
                <w:sz w:val="15"/>
                <w:szCs w:val="15"/>
              </w:rPr>
              <w:t>9.04%</w:t>
            </w:r>
          </w:p>
        </w:tc>
        <w:tc>
          <w:tcPr>
            <w:tcW w:w="1218" w:type="dxa"/>
          </w:tcPr>
          <w:p>
            <w:pPr>
              <w:jc w:val="center"/>
              <w:rPr>
                <w:sz w:val="15"/>
                <w:szCs w:val="15"/>
              </w:rPr>
            </w:pPr>
            <w:r>
              <w:rPr>
                <w:sz w:val="15"/>
                <w:szCs w:val="15"/>
              </w:rPr>
              <w:t>7.91%</w:t>
            </w:r>
          </w:p>
        </w:tc>
        <w:tc>
          <w:tcPr>
            <w:tcW w:w="1218" w:type="dxa"/>
          </w:tcPr>
          <w:p>
            <w:pPr>
              <w:jc w:val="center"/>
              <w:rPr>
                <w:sz w:val="15"/>
                <w:szCs w:val="15"/>
              </w:rPr>
            </w:pPr>
            <w:r>
              <w:rPr>
                <w:sz w:val="15"/>
                <w:szCs w:val="15"/>
              </w:rPr>
              <w:t>7.91%</w:t>
            </w:r>
          </w:p>
        </w:tc>
        <w:tc>
          <w:tcPr>
            <w:tcW w:w="1218" w:type="dxa"/>
          </w:tcPr>
          <w:p>
            <w:pPr>
              <w:jc w:val="center"/>
              <w:rPr>
                <w:sz w:val="15"/>
                <w:szCs w:val="15"/>
              </w:rPr>
            </w:pPr>
            <w:r>
              <w:rPr>
                <w:sz w:val="15"/>
                <w:szCs w:val="15"/>
              </w:rPr>
              <w:t>58.19%</w:t>
            </w:r>
          </w:p>
        </w:tc>
      </w:tr>
    </w:tbl>
    <w:p/>
    <w:p>
      <w:pPr>
        <w:rPr>
          <w:rFonts w:asciiTheme="minorEastAsia" w:hAnsiTheme="minorEastAsia"/>
        </w:rPr>
      </w:pPr>
      <w:r>
        <w:rPr>
          <w:rFonts w:hint="eastAsia" w:asciiTheme="minorEastAsia" w:hAnsiTheme="minorEastAsia"/>
        </w:rPr>
        <w:t>2.2 京津冀各地区居民每月文化消费资金数额调研结果</w:t>
      </w:r>
    </w:p>
    <w:p>
      <w:pPr>
        <w:ind w:firstLine="420"/>
        <w:rPr>
          <w:rFonts w:asciiTheme="minorEastAsia" w:hAnsiTheme="minorEastAsia"/>
          <w:sz w:val="18"/>
          <w:szCs w:val="18"/>
        </w:rPr>
      </w:pPr>
      <w:r>
        <w:rPr>
          <w:rFonts w:hint="eastAsia" w:asciiTheme="minorEastAsia" w:hAnsiTheme="minorEastAsia"/>
          <w:sz w:val="18"/>
          <w:szCs w:val="18"/>
        </w:rPr>
        <w:t>经过对京津冀各地区居民每月文化消费资金数额调研，可发现石家庄和保定居民每月文化消费资金数额在100元以下范围内占比远高于北京和天津；各个城市均有很大比例的居民的每月文化消费资金数额在100-500范围；北京和天津居民每月文化消费资金数额在500-1000范围内远高于石家庄和保定；各个城市均有很小比例的居民每月文化消费资金数额在1000以上范围；而在居民每月文化消费资金数额2000元以上的居民占比北京远高于其他三个城市。该调研结果表明，虽然京津冀地区人缘相亲，文化一脉，但是各区域文化消费情况却各有区别，且均有较大待开发潜力，所以推动产业区域化整合及协同发展对提高居民文化消费很有价值。</w:t>
      </w:r>
    </w:p>
    <w:tbl>
      <w:tblPr>
        <w:tblStyle w:val="9"/>
        <w:tblW w:w="8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3"/>
        <w:gridCol w:w="1403"/>
        <w:gridCol w:w="1403"/>
        <w:gridCol w:w="1403"/>
        <w:gridCol w:w="1404"/>
        <w:gridCol w:w="1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403" w:type="dxa"/>
          </w:tcPr>
          <w:p>
            <w:pPr>
              <w:jc w:val="center"/>
              <w:rPr>
                <w:sz w:val="15"/>
                <w:szCs w:val="15"/>
              </w:rPr>
            </w:pPr>
            <w:r>
              <w:rPr>
                <w:rFonts w:hint="eastAsia"/>
                <w:sz w:val="15"/>
                <w:szCs w:val="15"/>
              </w:rPr>
              <w:t>城市</w:t>
            </w:r>
          </w:p>
        </w:tc>
        <w:tc>
          <w:tcPr>
            <w:tcW w:w="1403" w:type="dxa"/>
          </w:tcPr>
          <w:p>
            <w:pPr>
              <w:jc w:val="center"/>
              <w:rPr>
                <w:sz w:val="15"/>
                <w:szCs w:val="15"/>
              </w:rPr>
            </w:pPr>
            <w:r>
              <w:rPr>
                <w:rFonts w:hint="eastAsia"/>
                <w:sz w:val="15"/>
                <w:szCs w:val="15"/>
              </w:rPr>
              <w:t>100元以下占比</w:t>
            </w:r>
          </w:p>
        </w:tc>
        <w:tc>
          <w:tcPr>
            <w:tcW w:w="1403" w:type="dxa"/>
          </w:tcPr>
          <w:p>
            <w:pPr>
              <w:jc w:val="center"/>
              <w:rPr>
                <w:sz w:val="15"/>
                <w:szCs w:val="15"/>
              </w:rPr>
            </w:pPr>
            <w:r>
              <w:rPr>
                <w:rFonts w:hint="eastAsia"/>
                <w:sz w:val="15"/>
                <w:szCs w:val="15"/>
              </w:rPr>
              <w:t>100</w:t>
            </w:r>
            <w:r>
              <w:rPr>
                <w:sz w:val="15"/>
                <w:szCs w:val="15"/>
              </w:rPr>
              <w:t>-</w:t>
            </w:r>
            <w:r>
              <w:rPr>
                <w:rFonts w:hint="eastAsia"/>
                <w:sz w:val="15"/>
                <w:szCs w:val="15"/>
              </w:rPr>
              <w:t>500元占比</w:t>
            </w:r>
          </w:p>
        </w:tc>
        <w:tc>
          <w:tcPr>
            <w:tcW w:w="1403" w:type="dxa"/>
          </w:tcPr>
          <w:p>
            <w:pPr>
              <w:jc w:val="center"/>
              <w:rPr>
                <w:sz w:val="15"/>
                <w:szCs w:val="15"/>
              </w:rPr>
            </w:pPr>
            <w:r>
              <w:rPr>
                <w:rFonts w:hint="eastAsia"/>
                <w:sz w:val="15"/>
                <w:szCs w:val="15"/>
              </w:rPr>
              <w:t>500-1000占比</w:t>
            </w:r>
          </w:p>
        </w:tc>
        <w:tc>
          <w:tcPr>
            <w:tcW w:w="1404" w:type="dxa"/>
          </w:tcPr>
          <w:p>
            <w:pPr>
              <w:jc w:val="center"/>
              <w:rPr>
                <w:sz w:val="15"/>
                <w:szCs w:val="15"/>
              </w:rPr>
            </w:pPr>
            <w:r>
              <w:rPr>
                <w:rFonts w:hint="eastAsia"/>
                <w:sz w:val="15"/>
                <w:szCs w:val="15"/>
              </w:rPr>
              <w:t>1000-2000占比</w:t>
            </w:r>
          </w:p>
        </w:tc>
        <w:tc>
          <w:tcPr>
            <w:tcW w:w="1404" w:type="dxa"/>
          </w:tcPr>
          <w:p>
            <w:pPr>
              <w:jc w:val="center"/>
              <w:rPr>
                <w:sz w:val="15"/>
                <w:szCs w:val="15"/>
              </w:rPr>
            </w:pPr>
            <w:r>
              <w:rPr>
                <w:rFonts w:hint="eastAsia"/>
                <w:sz w:val="15"/>
                <w:szCs w:val="15"/>
              </w:rPr>
              <w:t>2000元以上占比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403" w:type="dxa"/>
          </w:tcPr>
          <w:p>
            <w:pPr>
              <w:jc w:val="center"/>
              <w:rPr>
                <w:sz w:val="15"/>
                <w:szCs w:val="15"/>
              </w:rPr>
            </w:pPr>
            <w:r>
              <w:rPr>
                <w:rFonts w:hint="eastAsia"/>
                <w:sz w:val="15"/>
                <w:szCs w:val="15"/>
              </w:rPr>
              <w:t>北京</w:t>
            </w:r>
          </w:p>
        </w:tc>
        <w:tc>
          <w:tcPr>
            <w:tcW w:w="1403" w:type="dxa"/>
          </w:tcPr>
          <w:p>
            <w:pPr>
              <w:jc w:val="center"/>
              <w:rPr>
                <w:sz w:val="15"/>
                <w:szCs w:val="15"/>
              </w:rPr>
            </w:pPr>
            <w:r>
              <w:rPr>
                <w:sz w:val="15"/>
                <w:szCs w:val="15"/>
              </w:rPr>
              <w:t>25.84%</w:t>
            </w:r>
          </w:p>
        </w:tc>
        <w:tc>
          <w:tcPr>
            <w:tcW w:w="1403" w:type="dxa"/>
          </w:tcPr>
          <w:p>
            <w:pPr>
              <w:jc w:val="center"/>
              <w:rPr>
                <w:sz w:val="15"/>
                <w:szCs w:val="15"/>
              </w:rPr>
            </w:pPr>
            <w:r>
              <w:rPr>
                <w:sz w:val="15"/>
                <w:szCs w:val="15"/>
              </w:rPr>
              <w:t>39.33%</w:t>
            </w:r>
          </w:p>
        </w:tc>
        <w:tc>
          <w:tcPr>
            <w:tcW w:w="1403" w:type="dxa"/>
          </w:tcPr>
          <w:p>
            <w:pPr>
              <w:jc w:val="center"/>
              <w:rPr>
                <w:sz w:val="15"/>
                <w:szCs w:val="15"/>
              </w:rPr>
            </w:pPr>
            <w:r>
              <w:rPr>
                <w:sz w:val="15"/>
                <w:szCs w:val="15"/>
              </w:rPr>
              <w:t>24.72%</w:t>
            </w:r>
          </w:p>
        </w:tc>
        <w:tc>
          <w:tcPr>
            <w:tcW w:w="1404" w:type="dxa"/>
          </w:tcPr>
          <w:p>
            <w:pPr>
              <w:jc w:val="center"/>
              <w:rPr>
                <w:sz w:val="15"/>
                <w:szCs w:val="15"/>
              </w:rPr>
            </w:pPr>
            <w:r>
              <w:rPr>
                <w:sz w:val="15"/>
                <w:szCs w:val="15"/>
              </w:rPr>
              <w:t>6.74%</w:t>
            </w:r>
          </w:p>
        </w:tc>
        <w:tc>
          <w:tcPr>
            <w:tcW w:w="1404" w:type="dxa"/>
          </w:tcPr>
          <w:p>
            <w:pPr>
              <w:jc w:val="center"/>
              <w:rPr>
                <w:sz w:val="15"/>
                <w:szCs w:val="15"/>
              </w:rPr>
            </w:pPr>
            <w:r>
              <w:rPr>
                <w:sz w:val="15"/>
                <w:szCs w:val="15"/>
              </w:rPr>
              <w:t>3.37%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403" w:type="dxa"/>
          </w:tcPr>
          <w:p>
            <w:pPr>
              <w:jc w:val="center"/>
              <w:rPr>
                <w:sz w:val="15"/>
                <w:szCs w:val="15"/>
              </w:rPr>
            </w:pPr>
            <w:r>
              <w:rPr>
                <w:rFonts w:hint="eastAsia"/>
                <w:sz w:val="15"/>
                <w:szCs w:val="15"/>
              </w:rPr>
              <w:t>天津</w:t>
            </w:r>
          </w:p>
        </w:tc>
        <w:tc>
          <w:tcPr>
            <w:tcW w:w="1403" w:type="dxa"/>
          </w:tcPr>
          <w:p>
            <w:pPr>
              <w:jc w:val="center"/>
              <w:rPr>
                <w:sz w:val="15"/>
                <w:szCs w:val="15"/>
              </w:rPr>
            </w:pPr>
            <w:r>
              <w:rPr>
                <w:sz w:val="15"/>
                <w:szCs w:val="15"/>
              </w:rPr>
              <w:t>22.62%</w:t>
            </w:r>
          </w:p>
        </w:tc>
        <w:tc>
          <w:tcPr>
            <w:tcW w:w="1403" w:type="dxa"/>
          </w:tcPr>
          <w:p>
            <w:pPr>
              <w:jc w:val="center"/>
              <w:rPr>
                <w:sz w:val="15"/>
                <w:szCs w:val="15"/>
              </w:rPr>
            </w:pPr>
            <w:r>
              <w:rPr>
                <w:sz w:val="15"/>
                <w:szCs w:val="15"/>
              </w:rPr>
              <w:t>47.62%</w:t>
            </w:r>
          </w:p>
        </w:tc>
        <w:tc>
          <w:tcPr>
            <w:tcW w:w="1403" w:type="dxa"/>
          </w:tcPr>
          <w:p>
            <w:pPr>
              <w:jc w:val="center"/>
              <w:rPr>
                <w:sz w:val="15"/>
                <w:szCs w:val="15"/>
              </w:rPr>
            </w:pPr>
            <w:r>
              <w:rPr>
                <w:sz w:val="15"/>
                <w:szCs w:val="15"/>
              </w:rPr>
              <w:t>23.81%</w:t>
            </w:r>
          </w:p>
        </w:tc>
        <w:tc>
          <w:tcPr>
            <w:tcW w:w="1404" w:type="dxa"/>
          </w:tcPr>
          <w:p>
            <w:pPr>
              <w:jc w:val="center"/>
              <w:rPr>
                <w:sz w:val="15"/>
                <w:szCs w:val="15"/>
              </w:rPr>
            </w:pPr>
            <w:r>
              <w:rPr>
                <w:sz w:val="15"/>
                <w:szCs w:val="15"/>
              </w:rPr>
              <w:t>5.36%</w:t>
            </w:r>
          </w:p>
        </w:tc>
        <w:tc>
          <w:tcPr>
            <w:tcW w:w="1404" w:type="dxa"/>
          </w:tcPr>
          <w:p>
            <w:pPr>
              <w:jc w:val="center"/>
              <w:rPr>
                <w:sz w:val="15"/>
                <w:szCs w:val="15"/>
              </w:rPr>
            </w:pPr>
            <w:r>
              <w:rPr>
                <w:sz w:val="15"/>
                <w:szCs w:val="15"/>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403" w:type="dxa"/>
          </w:tcPr>
          <w:p>
            <w:pPr>
              <w:jc w:val="center"/>
              <w:rPr>
                <w:sz w:val="15"/>
                <w:szCs w:val="15"/>
              </w:rPr>
            </w:pPr>
            <w:r>
              <w:rPr>
                <w:rFonts w:hint="eastAsia"/>
                <w:sz w:val="15"/>
                <w:szCs w:val="15"/>
              </w:rPr>
              <w:t>石家庄</w:t>
            </w:r>
          </w:p>
        </w:tc>
        <w:tc>
          <w:tcPr>
            <w:tcW w:w="1403" w:type="dxa"/>
          </w:tcPr>
          <w:p>
            <w:pPr>
              <w:jc w:val="center"/>
              <w:rPr>
                <w:sz w:val="15"/>
                <w:szCs w:val="15"/>
              </w:rPr>
            </w:pPr>
            <w:r>
              <w:rPr>
                <w:sz w:val="15"/>
                <w:szCs w:val="15"/>
              </w:rPr>
              <w:t>35.5%</w:t>
            </w:r>
          </w:p>
        </w:tc>
        <w:tc>
          <w:tcPr>
            <w:tcW w:w="1403" w:type="dxa"/>
          </w:tcPr>
          <w:p>
            <w:pPr>
              <w:jc w:val="center"/>
              <w:rPr>
                <w:sz w:val="15"/>
                <w:szCs w:val="15"/>
              </w:rPr>
            </w:pPr>
            <w:r>
              <w:rPr>
                <w:sz w:val="15"/>
                <w:szCs w:val="15"/>
              </w:rPr>
              <w:t>42.5%</w:t>
            </w:r>
          </w:p>
        </w:tc>
        <w:tc>
          <w:tcPr>
            <w:tcW w:w="1403" w:type="dxa"/>
          </w:tcPr>
          <w:p>
            <w:pPr>
              <w:jc w:val="center"/>
              <w:rPr>
                <w:sz w:val="15"/>
                <w:szCs w:val="15"/>
              </w:rPr>
            </w:pPr>
            <w:r>
              <w:rPr>
                <w:sz w:val="15"/>
                <w:szCs w:val="15"/>
              </w:rPr>
              <w:t>11.5%</w:t>
            </w:r>
          </w:p>
        </w:tc>
        <w:tc>
          <w:tcPr>
            <w:tcW w:w="1404" w:type="dxa"/>
          </w:tcPr>
          <w:p>
            <w:pPr>
              <w:jc w:val="center"/>
              <w:rPr>
                <w:sz w:val="15"/>
                <w:szCs w:val="15"/>
              </w:rPr>
            </w:pPr>
            <w:r>
              <w:rPr>
                <w:sz w:val="15"/>
                <w:szCs w:val="15"/>
              </w:rPr>
              <w:t>9.0%</w:t>
            </w:r>
          </w:p>
        </w:tc>
        <w:tc>
          <w:tcPr>
            <w:tcW w:w="1404" w:type="dxa"/>
          </w:tcPr>
          <w:p>
            <w:pPr>
              <w:jc w:val="center"/>
              <w:rPr>
                <w:sz w:val="15"/>
                <w:szCs w:val="15"/>
              </w:rPr>
            </w:pPr>
            <w:r>
              <w:rPr>
                <w:sz w:val="15"/>
                <w:szCs w:val="15"/>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403" w:type="dxa"/>
          </w:tcPr>
          <w:p>
            <w:pPr>
              <w:jc w:val="center"/>
              <w:rPr>
                <w:sz w:val="15"/>
                <w:szCs w:val="15"/>
              </w:rPr>
            </w:pPr>
            <w:r>
              <w:rPr>
                <w:rFonts w:hint="eastAsia"/>
                <w:sz w:val="15"/>
                <w:szCs w:val="15"/>
              </w:rPr>
              <w:t>保定</w:t>
            </w:r>
          </w:p>
        </w:tc>
        <w:tc>
          <w:tcPr>
            <w:tcW w:w="1403" w:type="dxa"/>
          </w:tcPr>
          <w:p>
            <w:pPr>
              <w:jc w:val="center"/>
              <w:rPr>
                <w:sz w:val="15"/>
                <w:szCs w:val="15"/>
              </w:rPr>
            </w:pPr>
            <w:r>
              <w:rPr>
                <w:sz w:val="15"/>
                <w:szCs w:val="15"/>
              </w:rPr>
              <w:t>34.46%</w:t>
            </w:r>
          </w:p>
        </w:tc>
        <w:tc>
          <w:tcPr>
            <w:tcW w:w="1403" w:type="dxa"/>
          </w:tcPr>
          <w:p>
            <w:pPr>
              <w:jc w:val="center"/>
              <w:rPr>
                <w:sz w:val="15"/>
                <w:szCs w:val="15"/>
              </w:rPr>
            </w:pPr>
            <w:r>
              <w:rPr>
                <w:sz w:val="15"/>
                <w:szCs w:val="15"/>
              </w:rPr>
              <w:t>45.2%</w:t>
            </w:r>
          </w:p>
        </w:tc>
        <w:tc>
          <w:tcPr>
            <w:tcW w:w="1403" w:type="dxa"/>
          </w:tcPr>
          <w:p>
            <w:pPr>
              <w:jc w:val="center"/>
              <w:rPr>
                <w:sz w:val="15"/>
                <w:szCs w:val="15"/>
              </w:rPr>
            </w:pPr>
            <w:r>
              <w:rPr>
                <w:sz w:val="15"/>
                <w:szCs w:val="15"/>
              </w:rPr>
              <w:t>15.82%</w:t>
            </w:r>
          </w:p>
        </w:tc>
        <w:tc>
          <w:tcPr>
            <w:tcW w:w="1404" w:type="dxa"/>
          </w:tcPr>
          <w:p>
            <w:pPr>
              <w:jc w:val="center"/>
              <w:rPr>
                <w:sz w:val="15"/>
                <w:szCs w:val="15"/>
              </w:rPr>
            </w:pPr>
            <w:r>
              <w:rPr>
                <w:sz w:val="15"/>
                <w:szCs w:val="15"/>
              </w:rPr>
              <w:t>3.95%</w:t>
            </w:r>
          </w:p>
        </w:tc>
        <w:tc>
          <w:tcPr>
            <w:tcW w:w="1404" w:type="dxa"/>
          </w:tcPr>
          <w:p>
            <w:pPr>
              <w:jc w:val="center"/>
              <w:rPr>
                <w:sz w:val="15"/>
                <w:szCs w:val="15"/>
              </w:rPr>
            </w:pPr>
            <w:r>
              <w:rPr>
                <w:sz w:val="15"/>
                <w:szCs w:val="15"/>
              </w:rPr>
              <w:t>0.56%</w:t>
            </w:r>
          </w:p>
        </w:tc>
      </w:tr>
    </w:tbl>
    <w:p>
      <w:pPr>
        <w:rPr>
          <w:rFonts w:asciiTheme="minorEastAsia" w:hAnsiTheme="minorEastAsia"/>
        </w:rPr>
      </w:pPr>
    </w:p>
    <w:p>
      <w:pPr>
        <w:rPr>
          <w:rFonts w:hint="eastAsia" w:asciiTheme="minorEastAsia" w:hAnsiTheme="minorEastAsia"/>
        </w:rPr>
      </w:pPr>
    </w:p>
    <w:p>
      <w:pPr>
        <w:rPr>
          <w:rFonts w:asciiTheme="minorEastAsia" w:hAnsiTheme="minorEastAsia"/>
        </w:rPr>
      </w:pPr>
      <w:r>
        <w:rPr>
          <w:rFonts w:hint="eastAsia" w:asciiTheme="minorEastAsia" w:hAnsiTheme="minorEastAsia"/>
          <w:lang w:val="en-US" w:eastAsia="zh-CN"/>
        </w:rPr>
        <w:t>2.3</w:t>
      </w:r>
      <w:r>
        <w:rPr>
          <w:rFonts w:hint="eastAsia" w:asciiTheme="minorEastAsia" w:hAnsiTheme="minorEastAsia"/>
        </w:rPr>
        <w:t>影响个人文化消费因素的研究</w:t>
      </w:r>
    </w:p>
    <w:p/>
    <w:p>
      <w:pPr>
        <w:rPr>
          <w:rFonts w:asciiTheme="minorEastAsia" w:hAnsiTheme="minorEastAsia"/>
        </w:rPr>
      </w:pPr>
      <w:r>
        <w:rPr>
          <w:rFonts w:hint="eastAsia" w:asciiTheme="minorEastAsia" w:hAnsiTheme="minorEastAsia"/>
        </w:rPr>
        <w:t>3.1 理论基础及方案设计</w:t>
      </w:r>
    </w:p>
    <w:p>
      <w:pPr>
        <w:ind w:firstLine="360" w:firstLineChars="200"/>
        <w:rPr>
          <w:rFonts w:hint="eastAsia"/>
          <w:sz w:val="18"/>
          <w:szCs w:val="18"/>
        </w:rPr>
      </w:pPr>
      <w:r>
        <w:rPr>
          <w:rFonts w:hint="eastAsia"/>
          <w:sz w:val="18"/>
          <w:szCs w:val="18"/>
        </w:rPr>
        <w:t>消费行为分析对企业的产品生产和销售具有重要指导意义。根据消费者的消费数据，建立消费行为因素分析模型，发现不同因素间的关系。消费行为因素分析大多依据经济学、社会学和心理学的理论，具有很强的主观性。数据挖掘为消费行为因素分析建模提供了新的手段</w:t>
      </w:r>
      <w:r>
        <w:rPr>
          <w:rStyle w:val="7"/>
          <w:rFonts w:hint="eastAsia"/>
          <w:sz w:val="18"/>
          <w:szCs w:val="18"/>
        </w:rPr>
        <w:footnoteReference w:id="0"/>
      </w:r>
      <w:r>
        <w:rPr>
          <w:rFonts w:hint="eastAsia"/>
          <w:sz w:val="18"/>
          <w:szCs w:val="18"/>
        </w:rPr>
        <w:t>，如聚类和关联规则挖掘算法，</w:t>
      </w:r>
      <w:r>
        <w:rPr>
          <w:rFonts w:hint="eastAsia"/>
          <w:sz w:val="18"/>
          <w:szCs w:val="18"/>
          <w:lang w:val="en-US" w:eastAsia="zh-CN"/>
        </w:rPr>
        <w:t>本次研究选择的是决策树算法</w:t>
      </w:r>
      <w:r>
        <w:rPr>
          <w:rFonts w:hint="eastAsia"/>
          <w:sz w:val="18"/>
          <w:szCs w:val="18"/>
        </w:rPr>
        <w:t>。决策树反映条件因素和决策因素的关系，其每一分支构成一条决策规则。</w:t>
      </w:r>
      <w:r>
        <w:rPr>
          <w:rFonts w:hint="eastAsia"/>
          <w:sz w:val="18"/>
          <w:szCs w:val="18"/>
          <w:lang w:val="en-US" w:eastAsia="zh-CN"/>
        </w:rPr>
        <w:t>上述设计的条件因素包含连续数据，因此选用</w:t>
      </w:r>
      <w:r>
        <w:rPr>
          <w:rFonts w:hint="eastAsia"/>
          <w:sz w:val="18"/>
          <w:szCs w:val="18"/>
        </w:rPr>
        <w:t>C4. 5算法实现决策树挖掘，对连续型条件属性(条件因素，如年龄)进行多次二分(多区间化)。</w:t>
      </w:r>
    </w:p>
    <w:p>
      <w:pPr>
        <w:ind w:firstLine="360" w:firstLineChars="200"/>
        <w:rPr>
          <w:rFonts w:hint="eastAsia" w:asciiTheme="minorEastAsia" w:hAnsiTheme="minorEastAsia"/>
          <w:sz w:val="18"/>
          <w:szCs w:val="18"/>
        </w:rPr>
      </w:pPr>
      <w:r>
        <w:rPr>
          <w:rFonts w:hint="eastAsia" w:asciiTheme="minorEastAsia" w:hAnsiTheme="minorEastAsia"/>
          <w:sz w:val="18"/>
          <w:szCs w:val="18"/>
        </w:rPr>
        <w:t>在上述理论研究的基础上，关于本研究方案的理论设计，在充分考虑到本研究的目的与数据分析的可操作性后，</w:t>
      </w:r>
      <w:r>
        <w:rPr>
          <w:rFonts w:hint="eastAsia" w:asciiTheme="minorEastAsia" w:hAnsiTheme="minorEastAsia"/>
          <w:sz w:val="18"/>
          <w:szCs w:val="18"/>
          <w:lang w:val="en-US" w:eastAsia="zh-CN"/>
        </w:rPr>
        <w:t>将主要包括两部分的内容，（1）各地区居民消费次数；（2）</w:t>
      </w:r>
      <w:r>
        <w:rPr>
          <w:rFonts w:hint="eastAsia" w:asciiTheme="minorEastAsia" w:hAnsiTheme="minorEastAsia"/>
          <w:sz w:val="18"/>
          <w:szCs w:val="18"/>
        </w:rPr>
        <w:t>各个区域影响个人文化消费因素</w:t>
      </w:r>
      <w:r>
        <w:rPr>
          <w:rFonts w:hint="eastAsia" w:asciiTheme="minorEastAsia" w:hAnsiTheme="minorEastAsia"/>
          <w:sz w:val="18"/>
          <w:szCs w:val="18"/>
          <w:lang w:eastAsia="zh-CN"/>
        </w:rPr>
        <w:t>，</w:t>
      </w:r>
      <w:r>
        <w:rPr>
          <w:rFonts w:hint="eastAsia" w:asciiTheme="minorEastAsia" w:hAnsiTheme="minorEastAsia"/>
          <w:sz w:val="18"/>
          <w:szCs w:val="18"/>
        </w:rPr>
        <w:t>即：</w:t>
      </w:r>
      <w:r>
        <w:rPr>
          <w:rFonts w:hint="eastAsia" w:asciiTheme="minorEastAsia" w:hAnsiTheme="minorEastAsia"/>
          <w:sz w:val="18"/>
          <w:szCs w:val="18"/>
          <w:lang w:val="en-US" w:eastAsia="zh-CN"/>
        </w:rPr>
        <w:t>性别</w:t>
      </w:r>
      <w:r>
        <w:rPr>
          <w:rFonts w:hint="eastAsia" w:asciiTheme="minorEastAsia" w:hAnsiTheme="minorEastAsia"/>
          <w:sz w:val="18"/>
          <w:szCs w:val="18"/>
        </w:rPr>
        <w:t>、年龄</w:t>
      </w:r>
      <w:r>
        <w:rPr>
          <w:rFonts w:hint="eastAsia" w:asciiTheme="minorEastAsia" w:hAnsiTheme="minorEastAsia"/>
          <w:sz w:val="18"/>
          <w:szCs w:val="18"/>
          <w:lang w:val="en-US" w:eastAsia="zh-CN"/>
        </w:rPr>
        <w:t>、</w:t>
      </w:r>
      <w:r>
        <w:rPr>
          <w:rFonts w:hint="eastAsia" w:asciiTheme="minorEastAsia" w:hAnsiTheme="minorEastAsia"/>
          <w:sz w:val="18"/>
          <w:szCs w:val="18"/>
        </w:rPr>
        <w:t>文化程度、经济收入</w:t>
      </w:r>
      <w:r>
        <w:rPr>
          <w:rFonts w:hint="eastAsia" w:asciiTheme="minorEastAsia" w:hAnsiTheme="minorEastAsia"/>
          <w:sz w:val="18"/>
          <w:szCs w:val="18"/>
          <w:lang w:eastAsia="zh-CN"/>
        </w:rPr>
        <w:t>、</w:t>
      </w:r>
      <w:r>
        <w:rPr>
          <w:rFonts w:hint="eastAsia" w:asciiTheme="minorEastAsia" w:hAnsiTheme="minorEastAsia"/>
          <w:sz w:val="18"/>
          <w:szCs w:val="18"/>
          <w:lang w:val="en-US" w:eastAsia="zh-CN"/>
        </w:rPr>
        <w:t>婚姻状况、家庭构成</w:t>
      </w:r>
      <w:r>
        <w:rPr>
          <w:rFonts w:hint="eastAsia" w:asciiTheme="minorEastAsia" w:hAnsiTheme="minorEastAsia"/>
          <w:sz w:val="18"/>
          <w:szCs w:val="18"/>
        </w:rPr>
        <w:t>。本研究还选择</w:t>
      </w:r>
      <w:r>
        <w:rPr>
          <w:rFonts w:hint="eastAsia" w:asciiTheme="minorEastAsia" w:hAnsiTheme="minorEastAsia"/>
          <w:sz w:val="18"/>
          <w:szCs w:val="18"/>
          <w:lang w:val="en-US" w:eastAsia="zh-CN"/>
        </w:rPr>
        <w:t>6</w:t>
      </w:r>
      <w:r>
        <w:rPr>
          <w:rFonts w:hint="eastAsia" w:asciiTheme="minorEastAsia" w:hAnsiTheme="minorEastAsia"/>
          <w:sz w:val="18"/>
          <w:szCs w:val="18"/>
        </w:rPr>
        <w:t>个人口统计变量作为</w:t>
      </w:r>
      <w:r>
        <w:rPr>
          <w:rFonts w:hint="eastAsia" w:asciiTheme="minorEastAsia" w:hAnsiTheme="minorEastAsia"/>
          <w:sz w:val="18"/>
          <w:szCs w:val="18"/>
          <w:lang w:val="en-US" w:eastAsia="zh-CN"/>
        </w:rPr>
        <w:t>条件因素</w:t>
      </w:r>
      <w:r>
        <w:rPr>
          <w:rFonts w:hint="eastAsia" w:asciiTheme="minorEastAsia" w:hAnsiTheme="minorEastAsia"/>
          <w:sz w:val="18"/>
          <w:szCs w:val="18"/>
        </w:rPr>
        <w:t>来分析它们</w:t>
      </w:r>
      <w:r>
        <w:rPr>
          <w:rFonts w:hint="eastAsia" w:asciiTheme="minorEastAsia" w:hAnsiTheme="minorEastAsia"/>
          <w:sz w:val="18"/>
          <w:szCs w:val="18"/>
          <w:lang w:val="en-US" w:eastAsia="zh-CN"/>
        </w:rPr>
        <w:t>对居民消费次数的影响，</w:t>
      </w:r>
      <w:r>
        <w:rPr>
          <w:rFonts w:hint="eastAsia" w:asciiTheme="minorEastAsia" w:hAnsiTheme="minorEastAsia"/>
          <w:sz w:val="18"/>
          <w:szCs w:val="18"/>
        </w:rPr>
        <w:t>其中设置的具体选项如下：</w:t>
      </w:r>
    </w:p>
    <w:p>
      <w:pPr>
        <w:ind w:firstLine="360" w:firstLineChars="200"/>
        <w:rPr>
          <w:rFonts w:hint="eastAsia" w:asciiTheme="minorEastAsia" w:hAnsiTheme="minorEastAsia" w:eastAsiaTheme="minorEastAsia"/>
          <w:sz w:val="18"/>
          <w:szCs w:val="18"/>
          <w:lang w:val="en-US" w:eastAsia="zh-CN"/>
        </w:rPr>
      </w:pPr>
      <w:r>
        <w:rPr>
          <w:rFonts w:hint="eastAsia" w:asciiTheme="minorEastAsia" w:hAnsiTheme="minorEastAsia"/>
          <w:sz w:val="18"/>
          <w:szCs w:val="18"/>
          <w:lang w:val="en-US" w:eastAsia="zh-CN"/>
        </w:rPr>
        <w:t>1、性别：男、女</w:t>
      </w:r>
    </w:p>
    <w:p>
      <w:pPr>
        <w:ind w:firstLine="343" w:firstLineChars="191"/>
        <w:rPr>
          <w:rFonts w:hint="eastAsia" w:asciiTheme="minorEastAsia" w:hAnsiTheme="minorEastAsia"/>
          <w:sz w:val="18"/>
          <w:szCs w:val="18"/>
        </w:rPr>
      </w:pPr>
      <w:r>
        <w:rPr>
          <w:rFonts w:hint="eastAsia" w:asciiTheme="minorEastAsia" w:hAnsiTheme="minorEastAsia"/>
          <w:sz w:val="18"/>
          <w:szCs w:val="18"/>
        </w:rPr>
        <w:t>2、年龄：18岁以下、18-30岁、30-40岁、40-50岁、50-60岁；</w:t>
      </w:r>
    </w:p>
    <w:p>
      <w:pPr>
        <w:rPr>
          <w:rFonts w:asciiTheme="minorEastAsia" w:hAnsiTheme="minorEastAsia"/>
          <w:sz w:val="18"/>
          <w:szCs w:val="18"/>
        </w:rPr>
      </w:pPr>
      <w:r>
        <w:rPr>
          <w:rFonts w:hint="eastAsia" w:asciiTheme="minorEastAsia" w:hAnsiTheme="minorEastAsia"/>
          <w:sz w:val="18"/>
          <w:szCs w:val="18"/>
        </w:rPr>
        <w:t xml:space="preserve">    </w:t>
      </w:r>
      <w:r>
        <w:rPr>
          <w:rFonts w:hint="eastAsia" w:asciiTheme="minorEastAsia" w:hAnsiTheme="minorEastAsia"/>
          <w:sz w:val="18"/>
          <w:szCs w:val="18"/>
          <w:lang w:val="en-US" w:eastAsia="zh-CN"/>
        </w:rPr>
        <w:t>3</w:t>
      </w:r>
      <w:r>
        <w:rPr>
          <w:rFonts w:hint="eastAsia" w:asciiTheme="minorEastAsia" w:hAnsiTheme="minorEastAsia"/>
          <w:sz w:val="18"/>
          <w:szCs w:val="18"/>
        </w:rPr>
        <w:t>、文化程度：初中及以下、高中及中专、本科及大专、硕士研究生、博士研究生及以上；</w:t>
      </w:r>
    </w:p>
    <w:p>
      <w:pPr>
        <w:ind w:firstLine="345"/>
        <w:rPr>
          <w:rFonts w:hint="eastAsia" w:asciiTheme="minorEastAsia" w:hAnsiTheme="minorEastAsia"/>
          <w:sz w:val="18"/>
          <w:szCs w:val="18"/>
        </w:rPr>
      </w:pPr>
      <w:r>
        <w:rPr>
          <w:rFonts w:hint="eastAsia" w:asciiTheme="minorEastAsia" w:hAnsiTheme="minorEastAsia"/>
          <w:sz w:val="18"/>
          <w:szCs w:val="18"/>
          <w:lang w:val="en-US" w:eastAsia="zh-CN"/>
        </w:rPr>
        <w:t>4</w:t>
      </w:r>
      <w:r>
        <w:rPr>
          <w:rFonts w:hint="eastAsia" w:asciiTheme="minorEastAsia" w:hAnsiTheme="minorEastAsia"/>
          <w:sz w:val="18"/>
          <w:szCs w:val="18"/>
        </w:rPr>
        <w:t>、经济收入：无收入、3000元以下、3000-5000元、5000-8000元、8000-15000元、15000以上；</w:t>
      </w:r>
    </w:p>
    <w:p>
      <w:pPr>
        <w:ind w:firstLine="345"/>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5、婚姻状况：未婚、已婚、离婚、丧偶</w:t>
      </w:r>
    </w:p>
    <w:p>
      <w:pPr>
        <w:ind w:firstLine="345"/>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6、家庭结构：有孩子（18岁以上）、有孩子（18岁以下）、没有孩子</w:t>
      </w:r>
    </w:p>
    <w:p>
      <w:pP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3.2 决策树算法</w:t>
      </w:r>
    </w:p>
    <w:p>
      <w:pPr>
        <w:ind w:firstLine="36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决策树：其结构和树非常相似，因此得其名决策树。决策树具有树形的结构，其中每个内部节点表示一个属性上的测试，每个分支代表一个测试输出，每个叶节点代表一种类别。</w:t>
      </w:r>
    </w:p>
    <w:p>
      <w:pPr>
        <w:ind w:firstLine="36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决策树的优点：1.进行分类器设计时，决策树分类方法所需时间相对较少。2.决策树的分类模型是树状结构，简单直观，比较符合人类的理解方式。3.可以将决策树中到达每个叶节点的路径转换为IF—THEN形式的分类规则，这种形式更有利于理解。</w:t>
      </w:r>
    </w:p>
    <w:p>
      <w:pPr>
        <w:ind w:firstLine="36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决策树算法基本概念：</w:t>
      </w:r>
    </w:p>
    <w:p>
      <w:pPr>
        <w:ind w:firstLine="36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 xml:space="preserve">    ID3 (Iterative Dichotomiser 3)：采用贪婪策略，按照信息增益来计算分类目标，划分叶子节点。剪枝策略采用后减枝。</w:t>
      </w:r>
    </w:p>
    <w:p>
      <w:pPr>
        <w:ind w:firstLine="36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 xml:space="preserve">    C4.5：继承自ID3，但是数据类型不一定非得是离散类型了。C4.5具有很清晰易懂的if else语句能够描述决策树的结构,也是后减枝，具体策略是预删除树结点看泛化性能是否下降。 </w:t>
      </w:r>
    </w:p>
    <w:p>
      <w:pPr>
        <w:ind w:firstLine="36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 xml:space="preserve">    熵：度量了事物的不确定性，越不确定的事物，它的熵就越大。熵的计算公式如下所示：</w:t>
      </w:r>
    </w:p>
    <w:p>
      <w:pPr>
        <w:ind w:firstLine="36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 xml:space="preserve">  </w:t>
      </w:r>
      <w:r>
        <w:rPr>
          <w:rFonts w:ascii="宋体" w:hAnsi="宋体" w:eastAsia="宋体" w:cs="宋体"/>
          <w:sz w:val="24"/>
          <w:szCs w:val="24"/>
        </w:rPr>
        <w:drawing>
          <wp:inline distT="0" distB="0" distL="114300" distR="114300">
            <wp:extent cx="2524125" cy="4857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524125" cy="485775"/>
                    </a:xfrm>
                    <a:prstGeom prst="rect">
                      <a:avLst/>
                    </a:prstGeom>
                    <a:noFill/>
                    <a:ln w="9525">
                      <a:noFill/>
                    </a:ln>
                  </pic:spPr>
                </pic:pic>
              </a:graphicData>
            </a:graphic>
          </wp:inline>
        </w:drawing>
      </w:r>
    </w:p>
    <w:p>
      <w:pPr>
        <w:ind w:firstLine="36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 xml:space="preserve">    信息增益：Entropy(X)度量了X的不确定性，条件熵Entropy(X|Y)度量了我们在知道Y以后X剩下的不确定性，那么Entropy(X)-Entropy(X|Y)它度量了X在知道Y以后不确定性减少程度，这个度量在信息论中称为互信息，记为I(X,Y)。在决策树ID3算法中叫做信息增益。计算公式表示为：I(X,Y)=Entropy(X)-Entropy(X|Y)</w:t>
      </w:r>
    </w:p>
    <w:p>
      <w:pPr>
        <w:ind w:firstLine="360"/>
        <w:rPr>
          <w:rFonts w:hint="eastAsia" w:asciiTheme="minorEastAsia" w:hAnsiTheme="minorEastAsia" w:eastAsiaTheme="minorEastAsia"/>
          <w:sz w:val="18"/>
          <w:szCs w:val="18"/>
          <w:lang w:val="en-US" w:eastAsia="zh-CN"/>
        </w:rPr>
      </w:pPr>
      <w:r>
        <w:rPr>
          <w:rFonts w:hint="eastAsia" w:asciiTheme="minorEastAsia" w:hAnsiTheme="minorEastAsia"/>
          <w:sz w:val="18"/>
          <w:szCs w:val="18"/>
          <w:lang w:val="en-US" w:eastAsia="zh-CN"/>
        </w:rPr>
        <w:t>因为六层树结构不易理解观察，所以通过计算计算</w:t>
      </w:r>
      <w:r>
        <w:rPr>
          <w:rFonts w:hint="eastAsia" w:asciiTheme="minorEastAsia" w:hAnsiTheme="minorEastAsia"/>
          <w:sz w:val="18"/>
          <w:szCs w:val="18"/>
        </w:rPr>
        <w:t>各个区域</w:t>
      </w:r>
      <w:r>
        <w:rPr>
          <w:rFonts w:hint="eastAsia" w:asciiTheme="minorEastAsia" w:hAnsiTheme="minorEastAsia"/>
          <w:sz w:val="18"/>
          <w:szCs w:val="18"/>
          <w:lang w:val="en-US" w:eastAsia="zh-CN"/>
        </w:rPr>
        <w:t>各个因素的信息增益，选取其中前三个信息增益较大的因素作为</w:t>
      </w:r>
      <w:r>
        <w:rPr>
          <w:rFonts w:hint="eastAsia" w:asciiTheme="minorEastAsia" w:hAnsiTheme="minorEastAsia"/>
          <w:sz w:val="18"/>
          <w:szCs w:val="18"/>
        </w:rPr>
        <w:t>各个区域</w:t>
      </w:r>
      <w:r>
        <w:rPr>
          <w:rFonts w:hint="eastAsia" w:asciiTheme="minorEastAsia" w:hAnsiTheme="minorEastAsia"/>
          <w:sz w:val="18"/>
          <w:szCs w:val="18"/>
          <w:lang w:val="en-US" w:eastAsia="zh-CN"/>
        </w:rPr>
        <w:t>分</w:t>
      </w:r>
      <w:r>
        <w:rPr>
          <w:rFonts w:hint="eastAsia" w:asciiTheme="minorEastAsia" w:hAnsiTheme="minorEastAsia"/>
          <w:sz w:val="18"/>
          <w:szCs w:val="18"/>
        </w:rPr>
        <w:t>影响个人文化消费</w:t>
      </w:r>
      <w:r>
        <w:rPr>
          <w:rFonts w:hint="eastAsia" w:asciiTheme="minorEastAsia" w:hAnsiTheme="minorEastAsia"/>
          <w:sz w:val="18"/>
          <w:szCs w:val="18"/>
          <w:lang w:val="en-US" w:eastAsia="zh-CN"/>
        </w:rPr>
        <w:t>的分析点。</w:t>
      </w:r>
    </w:p>
    <w:p>
      <w:pPr>
        <w:ind w:firstLine="36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决策树算法实现步骤：</w:t>
      </w:r>
    </w:p>
    <w:p>
      <w:pPr>
        <w:numPr>
          <w:ilvl w:val="0"/>
          <w:numId w:val="1"/>
        </w:numPr>
        <w:ind w:firstLine="720" w:firstLineChars="40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获取原始数据，集成为特定结构的数据集</w:t>
      </w:r>
    </w:p>
    <w:p>
      <w:pPr>
        <w:numPr>
          <w:ilvl w:val="0"/>
          <w:numId w:val="1"/>
        </w:numPr>
        <w:ind w:firstLine="720" w:firstLineChars="40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计算</w:t>
      </w:r>
      <w:r>
        <w:rPr>
          <w:rFonts w:hint="eastAsia" w:asciiTheme="minorEastAsia" w:hAnsiTheme="minorEastAsia"/>
          <w:sz w:val="18"/>
          <w:szCs w:val="18"/>
        </w:rPr>
        <w:t>各个区域</w:t>
      </w:r>
      <w:r>
        <w:rPr>
          <w:rFonts w:hint="eastAsia" w:asciiTheme="minorEastAsia" w:hAnsiTheme="minorEastAsia"/>
          <w:sz w:val="18"/>
          <w:szCs w:val="18"/>
          <w:lang w:val="en-US" w:eastAsia="zh-CN"/>
        </w:rPr>
        <w:t>各个因素的信息增益，选取其中前三个信息增益较大的因素重新集成只包含这三个因素数据集</w:t>
      </w:r>
    </w:p>
    <w:p>
      <w:pPr>
        <w:numPr>
          <w:ilvl w:val="0"/>
          <w:numId w:val="1"/>
        </w:numPr>
        <w:ind w:firstLine="720" w:firstLineChars="40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计算增益，如果增益够大，将分割后的样本集作为决策树的子节点，否则停止分割</w:t>
      </w:r>
    </w:p>
    <w:p>
      <w:pPr>
        <w:numPr>
          <w:ilvl w:val="0"/>
          <w:numId w:val="1"/>
        </w:numPr>
        <w:ind w:firstLine="720" w:firstLineChars="40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递归执行上两步</w:t>
      </w:r>
    </w:p>
    <w:p>
      <w:pP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3.3 运行效果及分析</w:t>
      </w:r>
    </w:p>
    <w:p>
      <w:pPr>
        <w:rPr>
          <w:rFonts w:hint="eastAsia" w:asciiTheme="minorEastAsia" w:hAnsiTheme="minorEastAsia"/>
          <w:lang w:val="en-US" w:eastAsia="zh-CN"/>
        </w:rPr>
      </w:pPr>
      <w:r>
        <w:rPr>
          <w:rFonts w:hint="eastAsia" w:asciiTheme="minorEastAsia" w:hAnsiTheme="minorEastAsia"/>
          <w:lang w:val="en-US" w:eastAsia="zh-CN"/>
        </w:rPr>
        <w:t>各区域6个因素的信息增益</w:t>
      </w:r>
    </w:p>
    <w:p>
      <w:pPr>
        <w:rPr>
          <w:rFonts w:hint="eastAsia" w:asciiTheme="minorEastAsia" w:hAnsiTheme="minorEastAsia"/>
          <w:lang w:val="en-US" w:eastAsia="zh-CN"/>
        </w:rPr>
      </w:pPr>
    </w:p>
    <w:tbl>
      <w:tblPr>
        <w:tblStyle w:val="9"/>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217" w:type="dxa"/>
          </w:tcPr>
          <w:p>
            <w:pPr>
              <w:jc w:val="center"/>
              <w:rPr>
                <w:sz w:val="15"/>
                <w:szCs w:val="15"/>
              </w:rPr>
            </w:pPr>
            <w:r>
              <w:rPr>
                <w:rFonts w:hint="eastAsia"/>
                <w:sz w:val="15"/>
                <w:szCs w:val="15"/>
              </w:rPr>
              <w:t>城市</w:t>
            </w:r>
          </w:p>
        </w:tc>
        <w:tc>
          <w:tcPr>
            <w:tcW w:w="1217" w:type="dxa"/>
          </w:tcPr>
          <w:p>
            <w:pPr>
              <w:jc w:val="center"/>
              <w:rPr>
                <w:rFonts w:hint="eastAsia" w:eastAsiaTheme="minorEastAsia"/>
                <w:sz w:val="15"/>
                <w:szCs w:val="15"/>
                <w:lang w:val="en-US" w:eastAsia="zh-CN"/>
              </w:rPr>
            </w:pPr>
            <w:r>
              <w:rPr>
                <w:rFonts w:hint="eastAsia"/>
                <w:sz w:val="15"/>
                <w:szCs w:val="15"/>
                <w:lang w:val="en-US" w:eastAsia="zh-CN"/>
              </w:rPr>
              <w:t>性别</w:t>
            </w:r>
          </w:p>
        </w:tc>
        <w:tc>
          <w:tcPr>
            <w:tcW w:w="1217" w:type="dxa"/>
          </w:tcPr>
          <w:p>
            <w:pPr>
              <w:jc w:val="center"/>
              <w:rPr>
                <w:rFonts w:hint="eastAsia" w:eastAsiaTheme="minorEastAsia"/>
                <w:sz w:val="15"/>
                <w:szCs w:val="15"/>
                <w:lang w:val="en-US" w:eastAsia="zh-CN"/>
              </w:rPr>
            </w:pPr>
            <w:r>
              <w:rPr>
                <w:rFonts w:hint="eastAsia"/>
                <w:sz w:val="15"/>
                <w:szCs w:val="15"/>
                <w:lang w:val="en-US" w:eastAsia="zh-CN"/>
              </w:rPr>
              <w:t>年龄</w:t>
            </w:r>
          </w:p>
        </w:tc>
        <w:tc>
          <w:tcPr>
            <w:tcW w:w="1217" w:type="dxa"/>
          </w:tcPr>
          <w:p>
            <w:pPr>
              <w:jc w:val="center"/>
              <w:rPr>
                <w:rFonts w:hint="eastAsia" w:eastAsiaTheme="minorEastAsia"/>
                <w:sz w:val="15"/>
                <w:szCs w:val="15"/>
                <w:lang w:val="en-US" w:eastAsia="zh-CN"/>
              </w:rPr>
            </w:pPr>
            <w:r>
              <w:rPr>
                <w:rFonts w:hint="eastAsia"/>
                <w:sz w:val="15"/>
                <w:szCs w:val="15"/>
                <w:lang w:val="en-US" w:eastAsia="zh-CN"/>
              </w:rPr>
              <w:t>文化程度</w:t>
            </w:r>
          </w:p>
        </w:tc>
        <w:tc>
          <w:tcPr>
            <w:tcW w:w="1218" w:type="dxa"/>
          </w:tcPr>
          <w:p>
            <w:pPr>
              <w:jc w:val="center"/>
              <w:rPr>
                <w:rFonts w:hint="eastAsia" w:eastAsiaTheme="minorEastAsia"/>
                <w:sz w:val="15"/>
                <w:szCs w:val="15"/>
                <w:lang w:val="en-US" w:eastAsia="zh-CN"/>
              </w:rPr>
            </w:pPr>
            <w:r>
              <w:rPr>
                <w:rFonts w:hint="eastAsia"/>
                <w:sz w:val="15"/>
                <w:szCs w:val="15"/>
                <w:lang w:val="en-US" w:eastAsia="zh-CN"/>
              </w:rPr>
              <w:t>收入</w:t>
            </w:r>
          </w:p>
        </w:tc>
        <w:tc>
          <w:tcPr>
            <w:tcW w:w="1218" w:type="dxa"/>
          </w:tcPr>
          <w:p>
            <w:pPr>
              <w:jc w:val="center"/>
              <w:rPr>
                <w:rFonts w:hint="eastAsia" w:eastAsiaTheme="minorEastAsia"/>
                <w:sz w:val="15"/>
                <w:szCs w:val="15"/>
                <w:lang w:val="en-US" w:eastAsia="zh-CN"/>
              </w:rPr>
            </w:pPr>
            <w:r>
              <w:rPr>
                <w:rFonts w:hint="eastAsia"/>
                <w:sz w:val="15"/>
                <w:szCs w:val="15"/>
                <w:lang w:val="en-US" w:eastAsia="zh-CN"/>
              </w:rPr>
              <w:t>婚姻状况</w:t>
            </w:r>
          </w:p>
        </w:tc>
        <w:tc>
          <w:tcPr>
            <w:tcW w:w="1215" w:type="dxa"/>
          </w:tcPr>
          <w:p>
            <w:pPr>
              <w:jc w:val="center"/>
              <w:rPr>
                <w:rFonts w:hint="eastAsia" w:eastAsiaTheme="minorEastAsia"/>
                <w:sz w:val="15"/>
                <w:szCs w:val="15"/>
                <w:lang w:val="en-US" w:eastAsia="zh-CN"/>
              </w:rPr>
            </w:pPr>
            <w:r>
              <w:rPr>
                <w:rFonts w:hint="eastAsia"/>
                <w:sz w:val="15"/>
                <w:szCs w:val="15"/>
                <w:lang w:val="en-US" w:eastAsia="zh-CN"/>
              </w:rPr>
              <w:t>家庭结构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217" w:type="dxa"/>
          </w:tcPr>
          <w:p>
            <w:pPr>
              <w:jc w:val="center"/>
              <w:rPr>
                <w:sz w:val="15"/>
                <w:szCs w:val="15"/>
              </w:rPr>
            </w:pPr>
            <w:r>
              <w:rPr>
                <w:rFonts w:hint="eastAsia"/>
                <w:sz w:val="15"/>
                <w:szCs w:val="15"/>
              </w:rPr>
              <w:t>北京</w:t>
            </w:r>
          </w:p>
        </w:tc>
        <w:tc>
          <w:tcPr>
            <w:tcW w:w="1217" w:type="dxa"/>
          </w:tcPr>
          <w:p>
            <w:pPr>
              <w:jc w:val="center"/>
              <w:rPr>
                <w:sz w:val="15"/>
                <w:szCs w:val="15"/>
              </w:rPr>
            </w:pPr>
            <w:r>
              <w:rPr>
                <w:rFonts w:hint="eastAsia"/>
                <w:sz w:val="15"/>
                <w:szCs w:val="15"/>
              </w:rPr>
              <w:t>0.021</w:t>
            </w:r>
          </w:p>
        </w:tc>
        <w:tc>
          <w:tcPr>
            <w:tcW w:w="1217" w:type="dxa"/>
          </w:tcPr>
          <w:p>
            <w:pPr>
              <w:jc w:val="center"/>
              <w:rPr>
                <w:sz w:val="15"/>
                <w:szCs w:val="15"/>
              </w:rPr>
            </w:pPr>
            <w:r>
              <w:rPr>
                <w:rFonts w:hint="eastAsia"/>
                <w:sz w:val="15"/>
                <w:szCs w:val="15"/>
              </w:rPr>
              <w:t>0.050</w:t>
            </w:r>
          </w:p>
        </w:tc>
        <w:tc>
          <w:tcPr>
            <w:tcW w:w="1217" w:type="dxa"/>
          </w:tcPr>
          <w:p>
            <w:pPr>
              <w:jc w:val="center"/>
              <w:rPr>
                <w:sz w:val="15"/>
                <w:szCs w:val="15"/>
              </w:rPr>
            </w:pPr>
            <w:r>
              <w:rPr>
                <w:rFonts w:hint="eastAsia"/>
                <w:sz w:val="15"/>
                <w:szCs w:val="15"/>
              </w:rPr>
              <w:t>0.114</w:t>
            </w:r>
          </w:p>
        </w:tc>
        <w:tc>
          <w:tcPr>
            <w:tcW w:w="1218" w:type="dxa"/>
          </w:tcPr>
          <w:p>
            <w:pPr>
              <w:jc w:val="center"/>
              <w:rPr>
                <w:sz w:val="15"/>
                <w:szCs w:val="15"/>
              </w:rPr>
            </w:pPr>
            <w:r>
              <w:rPr>
                <w:rFonts w:hint="eastAsia"/>
                <w:sz w:val="15"/>
                <w:szCs w:val="15"/>
              </w:rPr>
              <w:t>0.131</w:t>
            </w:r>
          </w:p>
        </w:tc>
        <w:tc>
          <w:tcPr>
            <w:tcW w:w="1218" w:type="dxa"/>
          </w:tcPr>
          <w:p>
            <w:pPr>
              <w:jc w:val="center"/>
              <w:rPr>
                <w:sz w:val="15"/>
                <w:szCs w:val="15"/>
              </w:rPr>
            </w:pPr>
            <w:r>
              <w:rPr>
                <w:rFonts w:hint="eastAsia"/>
                <w:sz w:val="15"/>
                <w:szCs w:val="15"/>
              </w:rPr>
              <w:t>0.055</w:t>
            </w:r>
          </w:p>
        </w:tc>
        <w:tc>
          <w:tcPr>
            <w:tcW w:w="1215" w:type="dxa"/>
          </w:tcPr>
          <w:p>
            <w:pPr>
              <w:jc w:val="center"/>
              <w:rPr>
                <w:sz w:val="15"/>
                <w:szCs w:val="15"/>
              </w:rPr>
            </w:pPr>
            <w:r>
              <w:rPr>
                <w:rFonts w:hint="eastAsia"/>
                <w:sz w:val="15"/>
                <w:szCs w:val="15"/>
              </w:rPr>
              <w:t>0.064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217" w:type="dxa"/>
          </w:tcPr>
          <w:p>
            <w:pPr>
              <w:jc w:val="center"/>
              <w:rPr>
                <w:sz w:val="15"/>
                <w:szCs w:val="15"/>
              </w:rPr>
            </w:pPr>
            <w:r>
              <w:rPr>
                <w:rFonts w:hint="eastAsia"/>
                <w:sz w:val="15"/>
                <w:szCs w:val="15"/>
              </w:rPr>
              <w:t>天津</w:t>
            </w:r>
          </w:p>
        </w:tc>
        <w:tc>
          <w:tcPr>
            <w:tcW w:w="1217" w:type="dxa"/>
          </w:tcPr>
          <w:p>
            <w:pPr>
              <w:jc w:val="center"/>
              <w:rPr>
                <w:sz w:val="15"/>
                <w:szCs w:val="15"/>
              </w:rPr>
            </w:pPr>
            <w:r>
              <w:rPr>
                <w:rFonts w:hint="eastAsia"/>
                <w:sz w:val="15"/>
                <w:szCs w:val="15"/>
              </w:rPr>
              <w:t>0.020</w:t>
            </w:r>
          </w:p>
        </w:tc>
        <w:tc>
          <w:tcPr>
            <w:tcW w:w="1217" w:type="dxa"/>
          </w:tcPr>
          <w:p>
            <w:pPr>
              <w:jc w:val="center"/>
              <w:rPr>
                <w:sz w:val="15"/>
                <w:szCs w:val="15"/>
              </w:rPr>
            </w:pPr>
            <w:r>
              <w:rPr>
                <w:rFonts w:hint="eastAsia"/>
                <w:sz w:val="15"/>
                <w:szCs w:val="15"/>
              </w:rPr>
              <w:t>0.039</w:t>
            </w:r>
          </w:p>
        </w:tc>
        <w:tc>
          <w:tcPr>
            <w:tcW w:w="1217" w:type="dxa"/>
          </w:tcPr>
          <w:p>
            <w:pPr>
              <w:jc w:val="center"/>
              <w:rPr>
                <w:sz w:val="15"/>
                <w:szCs w:val="15"/>
              </w:rPr>
            </w:pPr>
            <w:r>
              <w:rPr>
                <w:rFonts w:hint="eastAsia"/>
                <w:sz w:val="15"/>
                <w:szCs w:val="15"/>
              </w:rPr>
              <w:t>0.139</w:t>
            </w:r>
          </w:p>
        </w:tc>
        <w:tc>
          <w:tcPr>
            <w:tcW w:w="1218" w:type="dxa"/>
          </w:tcPr>
          <w:p>
            <w:pPr>
              <w:jc w:val="center"/>
              <w:rPr>
                <w:sz w:val="15"/>
                <w:szCs w:val="15"/>
              </w:rPr>
            </w:pPr>
            <w:r>
              <w:rPr>
                <w:rFonts w:hint="eastAsia"/>
                <w:sz w:val="15"/>
                <w:szCs w:val="15"/>
              </w:rPr>
              <w:t>0.204</w:t>
            </w:r>
          </w:p>
        </w:tc>
        <w:tc>
          <w:tcPr>
            <w:tcW w:w="1218" w:type="dxa"/>
          </w:tcPr>
          <w:p>
            <w:pPr>
              <w:jc w:val="center"/>
              <w:rPr>
                <w:sz w:val="15"/>
                <w:szCs w:val="15"/>
              </w:rPr>
            </w:pPr>
            <w:r>
              <w:rPr>
                <w:rFonts w:hint="eastAsia"/>
                <w:sz w:val="15"/>
                <w:szCs w:val="15"/>
              </w:rPr>
              <w:t>0.059</w:t>
            </w:r>
          </w:p>
        </w:tc>
        <w:tc>
          <w:tcPr>
            <w:tcW w:w="1215" w:type="dxa"/>
          </w:tcPr>
          <w:p>
            <w:pPr>
              <w:jc w:val="center"/>
              <w:rPr>
                <w:sz w:val="15"/>
                <w:szCs w:val="15"/>
              </w:rPr>
            </w:pPr>
            <w:r>
              <w:rPr>
                <w:rFonts w:hint="eastAsia"/>
                <w:sz w:val="15"/>
                <w:szCs w:val="15"/>
              </w:rPr>
              <w:t>0.047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217" w:type="dxa"/>
          </w:tcPr>
          <w:p>
            <w:pPr>
              <w:jc w:val="center"/>
              <w:rPr>
                <w:sz w:val="15"/>
                <w:szCs w:val="15"/>
              </w:rPr>
            </w:pPr>
            <w:r>
              <w:rPr>
                <w:rFonts w:hint="eastAsia"/>
                <w:sz w:val="15"/>
                <w:szCs w:val="15"/>
              </w:rPr>
              <w:t>石家庄</w:t>
            </w:r>
          </w:p>
        </w:tc>
        <w:tc>
          <w:tcPr>
            <w:tcW w:w="1217" w:type="dxa"/>
          </w:tcPr>
          <w:p>
            <w:pPr>
              <w:jc w:val="center"/>
              <w:rPr>
                <w:sz w:val="15"/>
                <w:szCs w:val="15"/>
              </w:rPr>
            </w:pPr>
            <w:r>
              <w:rPr>
                <w:rFonts w:hint="eastAsia"/>
                <w:sz w:val="15"/>
                <w:szCs w:val="15"/>
              </w:rPr>
              <w:t>0.034</w:t>
            </w:r>
          </w:p>
        </w:tc>
        <w:tc>
          <w:tcPr>
            <w:tcW w:w="1217" w:type="dxa"/>
          </w:tcPr>
          <w:p>
            <w:pPr>
              <w:jc w:val="center"/>
              <w:rPr>
                <w:sz w:val="15"/>
                <w:szCs w:val="15"/>
              </w:rPr>
            </w:pPr>
            <w:r>
              <w:rPr>
                <w:rFonts w:hint="eastAsia"/>
                <w:sz w:val="15"/>
                <w:szCs w:val="15"/>
              </w:rPr>
              <w:t>0.084</w:t>
            </w:r>
          </w:p>
        </w:tc>
        <w:tc>
          <w:tcPr>
            <w:tcW w:w="1217" w:type="dxa"/>
          </w:tcPr>
          <w:p>
            <w:pPr>
              <w:jc w:val="center"/>
              <w:rPr>
                <w:sz w:val="15"/>
                <w:szCs w:val="15"/>
              </w:rPr>
            </w:pPr>
            <w:r>
              <w:rPr>
                <w:rFonts w:hint="eastAsia"/>
                <w:sz w:val="15"/>
                <w:szCs w:val="15"/>
              </w:rPr>
              <w:t>0.030</w:t>
            </w:r>
          </w:p>
        </w:tc>
        <w:tc>
          <w:tcPr>
            <w:tcW w:w="1218" w:type="dxa"/>
          </w:tcPr>
          <w:p>
            <w:pPr>
              <w:jc w:val="center"/>
              <w:rPr>
                <w:sz w:val="15"/>
                <w:szCs w:val="15"/>
              </w:rPr>
            </w:pPr>
            <w:r>
              <w:rPr>
                <w:rFonts w:hint="eastAsia"/>
                <w:sz w:val="15"/>
                <w:szCs w:val="15"/>
              </w:rPr>
              <w:t>0.149</w:t>
            </w:r>
          </w:p>
        </w:tc>
        <w:tc>
          <w:tcPr>
            <w:tcW w:w="1218" w:type="dxa"/>
          </w:tcPr>
          <w:p>
            <w:pPr>
              <w:jc w:val="center"/>
              <w:rPr>
                <w:sz w:val="15"/>
                <w:szCs w:val="15"/>
              </w:rPr>
            </w:pPr>
            <w:r>
              <w:rPr>
                <w:rFonts w:hint="eastAsia"/>
                <w:sz w:val="15"/>
                <w:szCs w:val="15"/>
              </w:rPr>
              <w:t>0.031</w:t>
            </w:r>
          </w:p>
        </w:tc>
        <w:tc>
          <w:tcPr>
            <w:tcW w:w="1215" w:type="dxa"/>
          </w:tcPr>
          <w:p>
            <w:pPr>
              <w:jc w:val="center"/>
              <w:rPr>
                <w:sz w:val="15"/>
                <w:szCs w:val="15"/>
              </w:rPr>
            </w:pPr>
            <w:r>
              <w:rPr>
                <w:rFonts w:hint="eastAsia"/>
                <w:sz w:val="15"/>
                <w:szCs w:val="15"/>
              </w:rPr>
              <w:t>0.027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217" w:type="dxa"/>
          </w:tcPr>
          <w:p>
            <w:pPr>
              <w:jc w:val="center"/>
              <w:rPr>
                <w:sz w:val="15"/>
                <w:szCs w:val="15"/>
              </w:rPr>
            </w:pPr>
            <w:r>
              <w:rPr>
                <w:rFonts w:hint="eastAsia"/>
                <w:sz w:val="15"/>
                <w:szCs w:val="15"/>
              </w:rPr>
              <w:t>保定</w:t>
            </w:r>
          </w:p>
        </w:tc>
        <w:tc>
          <w:tcPr>
            <w:tcW w:w="1217" w:type="dxa"/>
            <w:vAlign w:val="top"/>
          </w:tcPr>
          <w:p>
            <w:pPr>
              <w:jc w:val="center"/>
              <w:rPr>
                <w:sz w:val="15"/>
                <w:szCs w:val="15"/>
              </w:rPr>
            </w:pPr>
            <w:r>
              <w:rPr>
                <w:rFonts w:hint="eastAsia"/>
                <w:sz w:val="15"/>
                <w:szCs w:val="15"/>
              </w:rPr>
              <w:t>0.007</w:t>
            </w:r>
          </w:p>
        </w:tc>
        <w:tc>
          <w:tcPr>
            <w:tcW w:w="1217" w:type="dxa"/>
            <w:vAlign w:val="top"/>
          </w:tcPr>
          <w:p>
            <w:pPr>
              <w:jc w:val="center"/>
              <w:rPr>
                <w:sz w:val="15"/>
                <w:szCs w:val="15"/>
              </w:rPr>
            </w:pPr>
            <w:r>
              <w:rPr>
                <w:rFonts w:hint="eastAsia"/>
                <w:sz w:val="15"/>
                <w:szCs w:val="15"/>
              </w:rPr>
              <w:t>0.053</w:t>
            </w:r>
          </w:p>
        </w:tc>
        <w:tc>
          <w:tcPr>
            <w:tcW w:w="1217" w:type="dxa"/>
            <w:vAlign w:val="top"/>
          </w:tcPr>
          <w:p>
            <w:pPr>
              <w:jc w:val="center"/>
              <w:rPr>
                <w:sz w:val="15"/>
                <w:szCs w:val="15"/>
              </w:rPr>
            </w:pPr>
            <w:r>
              <w:rPr>
                <w:rFonts w:hint="eastAsia"/>
                <w:sz w:val="15"/>
                <w:szCs w:val="15"/>
              </w:rPr>
              <w:t>0.031</w:t>
            </w:r>
          </w:p>
        </w:tc>
        <w:tc>
          <w:tcPr>
            <w:tcW w:w="1218" w:type="dxa"/>
            <w:vAlign w:val="top"/>
          </w:tcPr>
          <w:p>
            <w:pPr>
              <w:jc w:val="center"/>
              <w:rPr>
                <w:sz w:val="15"/>
                <w:szCs w:val="15"/>
              </w:rPr>
            </w:pPr>
            <w:r>
              <w:rPr>
                <w:rFonts w:hint="eastAsia"/>
                <w:sz w:val="15"/>
                <w:szCs w:val="15"/>
              </w:rPr>
              <w:t>0.039</w:t>
            </w:r>
          </w:p>
        </w:tc>
        <w:tc>
          <w:tcPr>
            <w:tcW w:w="1218" w:type="dxa"/>
            <w:vAlign w:val="top"/>
          </w:tcPr>
          <w:p>
            <w:pPr>
              <w:jc w:val="center"/>
              <w:rPr>
                <w:sz w:val="15"/>
                <w:szCs w:val="15"/>
              </w:rPr>
            </w:pPr>
            <w:r>
              <w:rPr>
                <w:rFonts w:hint="eastAsia"/>
                <w:sz w:val="15"/>
                <w:szCs w:val="15"/>
              </w:rPr>
              <w:t>0.042</w:t>
            </w:r>
          </w:p>
        </w:tc>
        <w:tc>
          <w:tcPr>
            <w:tcW w:w="1215" w:type="dxa"/>
            <w:vAlign w:val="top"/>
          </w:tcPr>
          <w:p>
            <w:pPr>
              <w:jc w:val="center"/>
              <w:rPr>
                <w:sz w:val="15"/>
                <w:szCs w:val="15"/>
              </w:rPr>
            </w:pPr>
            <w:r>
              <w:rPr>
                <w:rFonts w:hint="eastAsia"/>
                <w:sz w:val="15"/>
                <w:szCs w:val="15"/>
              </w:rPr>
              <w:t>0.057</w:t>
            </w:r>
          </w:p>
        </w:tc>
      </w:tr>
    </w:tbl>
    <w:p>
      <w:pPr>
        <w:rPr>
          <w:rFonts w:hint="eastAsia" w:asciiTheme="minorEastAsia" w:hAnsiTheme="minorEastAsia"/>
          <w:lang w:val="en-US" w:eastAsia="zh-CN"/>
        </w:rPr>
      </w:pPr>
      <w:r>
        <w:rPr>
          <w:rFonts w:hint="eastAsia" w:asciiTheme="minorEastAsia" w:hAnsiTheme="minorEastAsia"/>
          <w:lang w:val="en-US" w:eastAsia="zh-CN"/>
        </w:rPr>
        <w:t>各区域信息增益较大的3个因素为：</w:t>
      </w:r>
    </w:p>
    <w:p>
      <w:pPr>
        <w:ind w:firstLine="420"/>
        <w:rPr>
          <w:rFonts w:hint="eastAsia" w:asciiTheme="minorEastAsia" w:hAnsiTheme="minorEastAsia"/>
          <w:lang w:val="en-US" w:eastAsia="zh-CN"/>
        </w:rPr>
      </w:pPr>
      <w:r>
        <w:rPr>
          <w:rFonts w:hint="eastAsia" w:asciiTheme="minorEastAsia" w:hAnsiTheme="minorEastAsia"/>
          <w:lang w:val="en-US" w:eastAsia="zh-CN"/>
        </w:rPr>
        <w:t>北京：收入、文化程度、家庭结构</w:t>
      </w:r>
      <w:bookmarkStart w:id="0" w:name="_GoBack"/>
      <w:bookmarkEnd w:id="0"/>
    </w:p>
    <w:p>
      <w:pPr>
        <w:ind w:firstLine="420"/>
        <w:rPr>
          <w:rFonts w:hint="eastAsia" w:asciiTheme="minorEastAsia" w:hAnsiTheme="minorEastAsia"/>
          <w:lang w:val="en-US" w:eastAsia="zh-CN"/>
        </w:rPr>
      </w:pPr>
      <w:r>
        <w:rPr>
          <w:rFonts w:hint="eastAsia" w:asciiTheme="minorEastAsia" w:hAnsiTheme="minorEastAsia"/>
          <w:lang w:val="en-US" w:eastAsia="zh-CN"/>
        </w:rPr>
        <w:t>天津：收入、文化程度、婚姻状况</w:t>
      </w:r>
    </w:p>
    <w:p>
      <w:pPr>
        <w:ind w:firstLine="420"/>
        <w:rPr>
          <w:rFonts w:hint="eastAsia" w:asciiTheme="minorEastAsia" w:hAnsiTheme="minorEastAsia"/>
          <w:lang w:val="en-US" w:eastAsia="zh-CN"/>
        </w:rPr>
      </w:pPr>
      <w:r>
        <w:rPr>
          <w:rFonts w:hint="eastAsia" w:asciiTheme="minorEastAsia" w:hAnsiTheme="minorEastAsia"/>
          <w:lang w:val="en-US" w:eastAsia="zh-CN"/>
        </w:rPr>
        <w:t xml:space="preserve">石家庄：收入、年龄、性别 </w:t>
      </w:r>
    </w:p>
    <w:p>
      <w:pPr>
        <w:ind w:firstLine="420"/>
        <w:rPr>
          <w:rFonts w:hint="eastAsia" w:asciiTheme="minorEastAsia" w:hAnsiTheme="minorEastAsia"/>
          <w:lang w:val="en-US" w:eastAsia="zh-CN"/>
        </w:rPr>
      </w:pPr>
      <w:r>
        <w:rPr>
          <w:rFonts w:hint="eastAsia" w:asciiTheme="minorEastAsia" w:hAnsiTheme="minorEastAsia"/>
          <w:lang w:val="en-US" w:eastAsia="zh-CN"/>
        </w:rPr>
        <w:t>保定：家庭结构、年龄、婚姻状况</w:t>
      </w:r>
    </w:p>
    <w:p>
      <w:pPr>
        <w:rPr>
          <w:rFonts w:hint="eastAsia" w:asciiTheme="minorEastAsia" w:hAnsiTheme="minorEastAsia"/>
        </w:rPr>
      </w:pPr>
    </w:p>
    <w:p>
      <w:pPr>
        <w:rPr>
          <w:rFonts w:asciiTheme="minorEastAsia" w:hAnsiTheme="minorEastAsia"/>
        </w:rPr>
      </w:pPr>
      <w:r>
        <w:rPr>
          <w:rFonts w:hint="eastAsia" w:asciiTheme="minorEastAsia" w:hAnsiTheme="minorEastAsia"/>
        </w:rPr>
        <w:t>2.3 京津冀各地区居民每月文化消费总量调研结果</w:t>
      </w:r>
    </w:p>
    <w:p>
      <w:pPr>
        <w:rPr>
          <w:rFonts w:asciiTheme="minorEastAsia" w:hAnsiTheme="minorEastAsia"/>
          <w:sz w:val="18"/>
          <w:szCs w:val="18"/>
        </w:rPr>
      </w:pPr>
      <w:r>
        <w:rPr>
          <w:rFonts w:hint="eastAsia" w:asciiTheme="minorEastAsia" w:hAnsiTheme="minorEastAsia"/>
        </w:rPr>
        <w:t xml:space="preserve">    </w:t>
      </w:r>
      <w:r>
        <w:rPr>
          <w:rFonts w:hint="eastAsia" w:asciiTheme="minorEastAsia" w:hAnsiTheme="minorEastAsia"/>
          <w:sz w:val="18"/>
          <w:szCs w:val="18"/>
        </w:rPr>
        <w:t>对于京津冀各地区居民每月文化消费总量情况，本研究采用各个区域居民文化消费支出和经济收入两个维度的散点图（下图）表示，这样可以清楚、直观地观察四座城市各个居民每月文化消费总量情况。由散点图可以看出北京市收入状况高于其他三个城市，但是文化消费状况基本和其他城市相同，说明在北京这个文化产品较为丰富的城市仍有较大的文化消费潜力；另外各区域文化消费总量分布和全部区域的均值进行比较会发现，保定表现最不乐观，几乎集中在图形左下角，超过均值的寥寥无几，如何引导该地区文化居民文化消费在该地区显得极为重要。</w:t>
      </w:r>
    </w:p>
    <w:p>
      <w:r>
        <w:drawing>
          <wp:inline distT="0" distB="0" distL="0" distR="0">
            <wp:extent cx="2627630" cy="19704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27635" cy="1970726"/>
                    </a:xfrm>
                    <a:prstGeom prst="rect">
                      <a:avLst/>
                    </a:prstGeom>
                    <a:noFill/>
                    <a:ln>
                      <a:noFill/>
                    </a:ln>
                  </pic:spPr>
                </pic:pic>
              </a:graphicData>
            </a:graphic>
          </wp:inline>
        </w:drawing>
      </w:r>
      <w:r>
        <w:drawing>
          <wp:inline distT="0" distB="0" distL="0" distR="0">
            <wp:extent cx="2627630" cy="19704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7635" cy="1970726"/>
                    </a:xfrm>
                    <a:prstGeom prst="rect">
                      <a:avLst/>
                    </a:prstGeom>
                    <a:noFill/>
                    <a:ln>
                      <a:noFill/>
                    </a:ln>
                  </pic:spPr>
                </pic:pic>
              </a:graphicData>
            </a:graphic>
          </wp:inline>
        </w:drawing>
      </w:r>
    </w:p>
    <w:p>
      <w:r>
        <w:rPr>
          <w:rFonts w:hint="eastAsia"/>
        </w:rPr>
        <w:t xml:space="preserve">                北京                                      天津</w:t>
      </w:r>
    </w:p>
    <w:p>
      <w:r>
        <w:drawing>
          <wp:inline distT="0" distB="0" distL="0" distR="0">
            <wp:extent cx="2611120" cy="19583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1120" cy="1958340"/>
                    </a:xfrm>
                    <a:prstGeom prst="rect">
                      <a:avLst/>
                    </a:prstGeom>
                    <a:noFill/>
                    <a:ln>
                      <a:noFill/>
                    </a:ln>
                  </pic:spPr>
                </pic:pic>
              </a:graphicData>
            </a:graphic>
          </wp:inline>
        </w:drawing>
      </w:r>
      <w:r>
        <w:drawing>
          <wp:inline distT="0" distB="0" distL="0" distR="0">
            <wp:extent cx="2627630" cy="19704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7635" cy="1970726"/>
                    </a:xfrm>
                    <a:prstGeom prst="rect">
                      <a:avLst/>
                    </a:prstGeom>
                    <a:noFill/>
                    <a:ln>
                      <a:noFill/>
                    </a:ln>
                  </pic:spPr>
                </pic:pic>
              </a:graphicData>
            </a:graphic>
          </wp:inline>
        </w:drawing>
      </w:r>
    </w:p>
    <w:p>
      <w:r>
        <w:rPr>
          <w:rFonts w:hint="eastAsia"/>
        </w:rPr>
        <w:t xml:space="preserve">                 石家庄                                  保定</w:t>
      </w:r>
    </w:p>
    <w:p/>
    <w:p>
      <w:pPr>
        <w:ind w:firstLine="360" w:firstLineChars="200"/>
        <w:rPr>
          <w:rFonts w:hint="eastAsia"/>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3"/>
        <w:snapToGrid w:val="0"/>
      </w:pPr>
      <w:r>
        <w:rPr>
          <w:rStyle w:val="7"/>
        </w:rPr>
        <w:footnoteRef/>
      </w:r>
      <w:r>
        <w:t xml:space="preserve"> </w:t>
      </w:r>
      <w:r>
        <w:rPr>
          <w:rFonts w:hint="eastAsia"/>
        </w:rPr>
        <w:t xml:space="preserve"> 黎旭，李国和，吴卫江，洪云峰，刘智渊，程远.基于决策树的消费行为因素建模与实现，2015 (5)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57F7E"/>
    <w:multiLevelType w:val="singleLevel"/>
    <w:tmpl w:val="5C857F7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C2C07"/>
    <w:rsid w:val="000106C0"/>
    <w:rsid w:val="00047887"/>
    <w:rsid w:val="00071E94"/>
    <w:rsid w:val="00072EF6"/>
    <w:rsid w:val="0009172B"/>
    <w:rsid w:val="000B073D"/>
    <w:rsid w:val="000B283A"/>
    <w:rsid w:val="00150D25"/>
    <w:rsid w:val="00152D2E"/>
    <w:rsid w:val="00153DEC"/>
    <w:rsid w:val="00160759"/>
    <w:rsid w:val="00175820"/>
    <w:rsid w:val="0019182F"/>
    <w:rsid w:val="00197AD4"/>
    <w:rsid w:val="001B13B0"/>
    <w:rsid w:val="001D791D"/>
    <w:rsid w:val="001D7E93"/>
    <w:rsid w:val="00207568"/>
    <w:rsid w:val="0022233E"/>
    <w:rsid w:val="00232108"/>
    <w:rsid w:val="00243654"/>
    <w:rsid w:val="00246B21"/>
    <w:rsid w:val="0025796A"/>
    <w:rsid w:val="00270C5F"/>
    <w:rsid w:val="002A18F7"/>
    <w:rsid w:val="002C2F59"/>
    <w:rsid w:val="002D7C79"/>
    <w:rsid w:val="002E5462"/>
    <w:rsid w:val="002F5CF4"/>
    <w:rsid w:val="002F5D2A"/>
    <w:rsid w:val="0030759B"/>
    <w:rsid w:val="0031253A"/>
    <w:rsid w:val="00330480"/>
    <w:rsid w:val="003313F5"/>
    <w:rsid w:val="003933D2"/>
    <w:rsid w:val="0039665B"/>
    <w:rsid w:val="003A1975"/>
    <w:rsid w:val="003A6154"/>
    <w:rsid w:val="003B2C15"/>
    <w:rsid w:val="003C3350"/>
    <w:rsid w:val="003D2EF0"/>
    <w:rsid w:val="003F49C2"/>
    <w:rsid w:val="003F5C02"/>
    <w:rsid w:val="00400268"/>
    <w:rsid w:val="004201D6"/>
    <w:rsid w:val="0046016C"/>
    <w:rsid w:val="00461F01"/>
    <w:rsid w:val="004942A5"/>
    <w:rsid w:val="004B06D9"/>
    <w:rsid w:val="004C1ECE"/>
    <w:rsid w:val="004E6CE5"/>
    <w:rsid w:val="004F4371"/>
    <w:rsid w:val="00551263"/>
    <w:rsid w:val="00584F15"/>
    <w:rsid w:val="00591333"/>
    <w:rsid w:val="005B0B07"/>
    <w:rsid w:val="005B2194"/>
    <w:rsid w:val="005C2C07"/>
    <w:rsid w:val="005E36C5"/>
    <w:rsid w:val="005E585F"/>
    <w:rsid w:val="005F2865"/>
    <w:rsid w:val="005F3EAD"/>
    <w:rsid w:val="005F7B9B"/>
    <w:rsid w:val="00600D66"/>
    <w:rsid w:val="00602972"/>
    <w:rsid w:val="006951A8"/>
    <w:rsid w:val="006A5572"/>
    <w:rsid w:val="006C3611"/>
    <w:rsid w:val="006C4D30"/>
    <w:rsid w:val="006D0184"/>
    <w:rsid w:val="006E2983"/>
    <w:rsid w:val="006F74A3"/>
    <w:rsid w:val="00721779"/>
    <w:rsid w:val="007559C2"/>
    <w:rsid w:val="007B383B"/>
    <w:rsid w:val="007B4A22"/>
    <w:rsid w:val="007C6A54"/>
    <w:rsid w:val="007D4A4F"/>
    <w:rsid w:val="00803255"/>
    <w:rsid w:val="00836548"/>
    <w:rsid w:val="008610B5"/>
    <w:rsid w:val="008718D4"/>
    <w:rsid w:val="008722B8"/>
    <w:rsid w:val="00886061"/>
    <w:rsid w:val="008976B6"/>
    <w:rsid w:val="008C2CA3"/>
    <w:rsid w:val="008C643E"/>
    <w:rsid w:val="008D06E2"/>
    <w:rsid w:val="008D5DF5"/>
    <w:rsid w:val="008F58B5"/>
    <w:rsid w:val="008F7B8D"/>
    <w:rsid w:val="0090140E"/>
    <w:rsid w:val="0091483E"/>
    <w:rsid w:val="0092629C"/>
    <w:rsid w:val="009500C6"/>
    <w:rsid w:val="00971CED"/>
    <w:rsid w:val="009D5FFB"/>
    <w:rsid w:val="009F0F93"/>
    <w:rsid w:val="00A20B88"/>
    <w:rsid w:val="00A24203"/>
    <w:rsid w:val="00A73490"/>
    <w:rsid w:val="00A76D78"/>
    <w:rsid w:val="00A9317C"/>
    <w:rsid w:val="00AA28D4"/>
    <w:rsid w:val="00AB4146"/>
    <w:rsid w:val="00B42F0E"/>
    <w:rsid w:val="00B4776D"/>
    <w:rsid w:val="00B56EF9"/>
    <w:rsid w:val="00B663DD"/>
    <w:rsid w:val="00B767AD"/>
    <w:rsid w:val="00B878E9"/>
    <w:rsid w:val="00B9677F"/>
    <w:rsid w:val="00BA291D"/>
    <w:rsid w:val="00BB3535"/>
    <w:rsid w:val="00BC54D0"/>
    <w:rsid w:val="00BC75D4"/>
    <w:rsid w:val="00C041E6"/>
    <w:rsid w:val="00C27CC1"/>
    <w:rsid w:val="00C86438"/>
    <w:rsid w:val="00C92A90"/>
    <w:rsid w:val="00C95AD0"/>
    <w:rsid w:val="00CA7DBE"/>
    <w:rsid w:val="00CE3067"/>
    <w:rsid w:val="00CE525B"/>
    <w:rsid w:val="00D07376"/>
    <w:rsid w:val="00D0778D"/>
    <w:rsid w:val="00D216BD"/>
    <w:rsid w:val="00D30268"/>
    <w:rsid w:val="00D32D1E"/>
    <w:rsid w:val="00D50D5B"/>
    <w:rsid w:val="00D56EB7"/>
    <w:rsid w:val="00DA6708"/>
    <w:rsid w:val="00DF2339"/>
    <w:rsid w:val="00E23C90"/>
    <w:rsid w:val="00E32705"/>
    <w:rsid w:val="00E55AA9"/>
    <w:rsid w:val="00E635B1"/>
    <w:rsid w:val="00EB0ECF"/>
    <w:rsid w:val="00F16BBA"/>
    <w:rsid w:val="00F3099D"/>
    <w:rsid w:val="00F32F41"/>
    <w:rsid w:val="00F648B4"/>
    <w:rsid w:val="00F71072"/>
    <w:rsid w:val="00F90FE5"/>
    <w:rsid w:val="00FA02E6"/>
    <w:rsid w:val="00FB42D1"/>
    <w:rsid w:val="00FD12E5"/>
    <w:rsid w:val="00FD1955"/>
    <w:rsid w:val="00FD20F8"/>
    <w:rsid w:val="00FD6EBF"/>
    <w:rsid w:val="00FE0318"/>
    <w:rsid w:val="00FE0D7D"/>
    <w:rsid w:val="02266462"/>
    <w:rsid w:val="02BA446B"/>
    <w:rsid w:val="02C71116"/>
    <w:rsid w:val="02EA16D8"/>
    <w:rsid w:val="030B55CF"/>
    <w:rsid w:val="030B5D08"/>
    <w:rsid w:val="031370D6"/>
    <w:rsid w:val="033F08DE"/>
    <w:rsid w:val="03454B2E"/>
    <w:rsid w:val="035C5604"/>
    <w:rsid w:val="039A297D"/>
    <w:rsid w:val="03DE0505"/>
    <w:rsid w:val="04A97AF0"/>
    <w:rsid w:val="062C5CC5"/>
    <w:rsid w:val="068648BA"/>
    <w:rsid w:val="06A54136"/>
    <w:rsid w:val="070C64AD"/>
    <w:rsid w:val="07414E9A"/>
    <w:rsid w:val="074618BD"/>
    <w:rsid w:val="07B04226"/>
    <w:rsid w:val="07E27D43"/>
    <w:rsid w:val="08000D5D"/>
    <w:rsid w:val="08062FA3"/>
    <w:rsid w:val="080A2D7C"/>
    <w:rsid w:val="082B48F6"/>
    <w:rsid w:val="08890579"/>
    <w:rsid w:val="08DA7747"/>
    <w:rsid w:val="08F6065B"/>
    <w:rsid w:val="0965130A"/>
    <w:rsid w:val="0A7D5C16"/>
    <w:rsid w:val="0B0367B4"/>
    <w:rsid w:val="0B252EC4"/>
    <w:rsid w:val="0B4745A3"/>
    <w:rsid w:val="0B87205C"/>
    <w:rsid w:val="0C241B98"/>
    <w:rsid w:val="0C6133E7"/>
    <w:rsid w:val="0C9D1CC2"/>
    <w:rsid w:val="0CAB6067"/>
    <w:rsid w:val="0CB82A1C"/>
    <w:rsid w:val="0CFE3C73"/>
    <w:rsid w:val="0DFA0CBE"/>
    <w:rsid w:val="0E182252"/>
    <w:rsid w:val="0EAF4772"/>
    <w:rsid w:val="0EAF76AC"/>
    <w:rsid w:val="10CE2A27"/>
    <w:rsid w:val="11B27DFD"/>
    <w:rsid w:val="11BF2F0B"/>
    <w:rsid w:val="11C30007"/>
    <w:rsid w:val="11C873E2"/>
    <w:rsid w:val="12EE5672"/>
    <w:rsid w:val="13163B4A"/>
    <w:rsid w:val="1340109C"/>
    <w:rsid w:val="13610EA0"/>
    <w:rsid w:val="13870F2C"/>
    <w:rsid w:val="13F857C3"/>
    <w:rsid w:val="14256B24"/>
    <w:rsid w:val="149F294E"/>
    <w:rsid w:val="14A8449F"/>
    <w:rsid w:val="14F4667F"/>
    <w:rsid w:val="15377884"/>
    <w:rsid w:val="15CA3EEE"/>
    <w:rsid w:val="160703F3"/>
    <w:rsid w:val="163D696A"/>
    <w:rsid w:val="16D551A9"/>
    <w:rsid w:val="17017798"/>
    <w:rsid w:val="1726730F"/>
    <w:rsid w:val="17B575E0"/>
    <w:rsid w:val="17E760F7"/>
    <w:rsid w:val="18636968"/>
    <w:rsid w:val="18B15672"/>
    <w:rsid w:val="18F25801"/>
    <w:rsid w:val="190F03FB"/>
    <w:rsid w:val="19B63DCD"/>
    <w:rsid w:val="1A065212"/>
    <w:rsid w:val="1B0C72B0"/>
    <w:rsid w:val="1B6911A0"/>
    <w:rsid w:val="1CB60748"/>
    <w:rsid w:val="1E3F1A59"/>
    <w:rsid w:val="1EA64F4F"/>
    <w:rsid w:val="1EB35EA1"/>
    <w:rsid w:val="1EC6265F"/>
    <w:rsid w:val="1ED8718B"/>
    <w:rsid w:val="1F15698E"/>
    <w:rsid w:val="1FA36113"/>
    <w:rsid w:val="1FE06985"/>
    <w:rsid w:val="2297518F"/>
    <w:rsid w:val="22B36073"/>
    <w:rsid w:val="23313E2F"/>
    <w:rsid w:val="238E5E11"/>
    <w:rsid w:val="23BB685F"/>
    <w:rsid w:val="242F694B"/>
    <w:rsid w:val="24397379"/>
    <w:rsid w:val="24B23A6B"/>
    <w:rsid w:val="25042496"/>
    <w:rsid w:val="25506F69"/>
    <w:rsid w:val="2678194A"/>
    <w:rsid w:val="26A7551C"/>
    <w:rsid w:val="26FF7D79"/>
    <w:rsid w:val="27D061FF"/>
    <w:rsid w:val="27E41E0D"/>
    <w:rsid w:val="28212B75"/>
    <w:rsid w:val="28A909B5"/>
    <w:rsid w:val="29690FF5"/>
    <w:rsid w:val="29A57990"/>
    <w:rsid w:val="29D63428"/>
    <w:rsid w:val="2A414685"/>
    <w:rsid w:val="2A6E45DF"/>
    <w:rsid w:val="2BBF1C96"/>
    <w:rsid w:val="2BC20F1C"/>
    <w:rsid w:val="2BD435A5"/>
    <w:rsid w:val="2BF957A2"/>
    <w:rsid w:val="2C445A98"/>
    <w:rsid w:val="2CCB59CD"/>
    <w:rsid w:val="2CD71F35"/>
    <w:rsid w:val="2D636AA2"/>
    <w:rsid w:val="2D8A004B"/>
    <w:rsid w:val="2E090CC1"/>
    <w:rsid w:val="2E407FCF"/>
    <w:rsid w:val="2E672E10"/>
    <w:rsid w:val="2E79699F"/>
    <w:rsid w:val="2F5B1F44"/>
    <w:rsid w:val="2F731945"/>
    <w:rsid w:val="304C2E48"/>
    <w:rsid w:val="30BB4CD1"/>
    <w:rsid w:val="30E94600"/>
    <w:rsid w:val="31A0294E"/>
    <w:rsid w:val="31A55A06"/>
    <w:rsid w:val="31F34412"/>
    <w:rsid w:val="320668E7"/>
    <w:rsid w:val="33625533"/>
    <w:rsid w:val="337502BE"/>
    <w:rsid w:val="34094248"/>
    <w:rsid w:val="34AC3B5B"/>
    <w:rsid w:val="352E488A"/>
    <w:rsid w:val="35D80242"/>
    <w:rsid w:val="35D91FFB"/>
    <w:rsid w:val="35E709F9"/>
    <w:rsid w:val="36616BAC"/>
    <w:rsid w:val="36813287"/>
    <w:rsid w:val="36B07D42"/>
    <w:rsid w:val="36EE41A7"/>
    <w:rsid w:val="37864B39"/>
    <w:rsid w:val="37E11DDB"/>
    <w:rsid w:val="38801F3A"/>
    <w:rsid w:val="393E1D4D"/>
    <w:rsid w:val="3991572E"/>
    <w:rsid w:val="3A50147C"/>
    <w:rsid w:val="3BB50EAE"/>
    <w:rsid w:val="3BC739EA"/>
    <w:rsid w:val="3C0B09E5"/>
    <w:rsid w:val="3C303C31"/>
    <w:rsid w:val="3D5702C9"/>
    <w:rsid w:val="3DB926BF"/>
    <w:rsid w:val="3E4073D9"/>
    <w:rsid w:val="3E7C2229"/>
    <w:rsid w:val="3F0F0778"/>
    <w:rsid w:val="3F33311B"/>
    <w:rsid w:val="3F6F3FDA"/>
    <w:rsid w:val="3F9F1141"/>
    <w:rsid w:val="3FE650DF"/>
    <w:rsid w:val="40D62D5D"/>
    <w:rsid w:val="410716B7"/>
    <w:rsid w:val="414C765A"/>
    <w:rsid w:val="41504353"/>
    <w:rsid w:val="42114030"/>
    <w:rsid w:val="42466DDA"/>
    <w:rsid w:val="42D05CF5"/>
    <w:rsid w:val="43174331"/>
    <w:rsid w:val="432B7FB5"/>
    <w:rsid w:val="43AB5A3A"/>
    <w:rsid w:val="43E1769D"/>
    <w:rsid w:val="44BB0CF3"/>
    <w:rsid w:val="44DF64CE"/>
    <w:rsid w:val="44E23890"/>
    <w:rsid w:val="45A342DF"/>
    <w:rsid w:val="45A92AF1"/>
    <w:rsid w:val="461C45EE"/>
    <w:rsid w:val="46520FE1"/>
    <w:rsid w:val="469F546A"/>
    <w:rsid w:val="46E02705"/>
    <w:rsid w:val="473B2082"/>
    <w:rsid w:val="4791253B"/>
    <w:rsid w:val="481A46E3"/>
    <w:rsid w:val="482E7590"/>
    <w:rsid w:val="48775B36"/>
    <w:rsid w:val="48AB7BB4"/>
    <w:rsid w:val="48D05682"/>
    <w:rsid w:val="491247EF"/>
    <w:rsid w:val="4A841602"/>
    <w:rsid w:val="4B355098"/>
    <w:rsid w:val="4BCA3913"/>
    <w:rsid w:val="4CC130B6"/>
    <w:rsid w:val="4FA36F82"/>
    <w:rsid w:val="502664F4"/>
    <w:rsid w:val="50D95CBC"/>
    <w:rsid w:val="51813520"/>
    <w:rsid w:val="545F0DDC"/>
    <w:rsid w:val="54640AEB"/>
    <w:rsid w:val="55EB7D83"/>
    <w:rsid w:val="55FA2F9A"/>
    <w:rsid w:val="563B5C84"/>
    <w:rsid w:val="566952F1"/>
    <w:rsid w:val="566A7353"/>
    <w:rsid w:val="56DE7084"/>
    <w:rsid w:val="5763146C"/>
    <w:rsid w:val="582E5B29"/>
    <w:rsid w:val="58382E33"/>
    <w:rsid w:val="5874032A"/>
    <w:rsid w:val="5A002067"/>
    <w:rsid w:val="5A272026"/>
    <w:rsid w:val="5A445497"/>
    <w:rsid w:val="5A76490F"/>
    <w:rsid w:val="5A883D11"/>
    <w:rsid w:val="5AB01AC2"/>
    <w:rsid w:val="5ADA1FBD"/>
    <w:rsid w:val="5BEA5F0D"/>
    <w:rsid w:val="5C1E2C19"/>
    <w:rsid w:val="5C637881"/>
    <w:rsid w:val="5CD2635B"/>
    <w:rsid w:val="5CE67847"/>
    <w:rsid w:val="5D3A032D"/>
    <w:rsid w:val="5D54791B"/>
    <w:rsid w:val="5DF43E19"/>
    <w:rsid w:val="5E111D14"/>
    <w:rsid w:val="5E9B6270"/>
    <w:rsid w:val="5E9F487F"/>
    <w:rsid w:val="5ECA73EB"/>
    <w:rsid w:val="5EDF2510"/>
    <w:rsid w:val="5F1229B6"/>
    <w:rsid w:val="5F900611"/>
    <w:rsid w:val="5F9E4276"/>
    <w:rsid w:val="5FB47EE9"/>
    <w:rsid w:val="5FE3709A"/>
    <w:rsid w:val="6030141D"/>
    <w:rsid w:val="60A868D6"/>
    <w:rsid w:val="617A19FA"/>
    <w:rsid w:val="6184274E"/>
    <w:rsid w:val="61EB1BB5"/>
    <w:rsid w:val="620A7C5C"/>
    <w:rsid w:val="626242A7"/>
    <w:rsid w:val="62B56D7A"/>
    <w:rsid w:val="62BC3E0E"/>
    <w:rsid w:val="62D80582"/>
    <w:rsid w:val="633129F4"/>
    <w:rsid w:val="633314C2"/>
    <w:rsid w:val="636102A5"/>
    <w:rsid w:val="648B4534"/>
    <w:rsid w:val="64C27BDB"/>
    <w:rsid w:val="64DA0E34"/>
    <w:rsid w:val="657E583B"/>
    <w:rsid w:val="65A56296"/>
    <w:rsid w:val="6609799F"/>
    <w:rsid w:val="66171586"/>
    <w:rsid w:val="66395B6C"/>
    <w:rsid w:val="67282BE2"/>
    <w:rsid w:val="679B34D0"/>
    <w:rsid w:val="6825228A"/>
    <w:rsid w:val="686656B3"/>
    <w:rsid w:val="692E1248"/>
    <w:rsid w:val="69A546A7"/>
    <w:rsid w:val="69B43E8C"/>
    <w:rsid w:val="6B0213F9"/>
    <w:rsid w:val="6B155303"/>
    <w:rsid w:val="6B715B96"/>
    <w:rsid w:val="6BED01C0"/>
    <w:rsid w:val="6C8316D0"/>
    <w:rsid w:val="6C8775CC"/>
    <w:rsid w:val="6CB63203"/>
    <w:rsid w:val="6D1C718B"/>
    <w:rsid w:val="6E4342C1"/>
    <w:rsid w:val="6E846A4A"/>
    <w:rsid w:val="6F272571"/>
    <w:rsid w:val="6F290CD1"/>
    <w:rsid w:val="6F3261AC"/>
    <w:rsid w:val="704312A0"/>
    <w:rsid w:val="70C9724D"/>
    <w:rsid w:val="72EF6695"/>
    <w:rsid w:val="73302D8A"/>
    <w:rsid w:val="73931862"/>
    <w:rsid w:val="74E85821"/>
    <w:rsid w:val="75AA6305"/>
    <w:rsid w:val="764A381C"/>
    <w:rsid w:val="76603FA3"/>
    <w:rsid w:val="76B61E04"/>
    <w:rsid w:val="771759AA"/>
    <w:rsid w:val="77957725"/>
    <w:rsid w:val="780F14C1"/>
    <w:rsid w:val="78376694"/>
    <w:rsid w:val="7858114B"/>
    <w:rsid w:val="79742A82"/>
    <w:rsid w:val="7A553F7A"/>
    <w:rsid w:val="7A7B27D9"/>
    <w:rsid w:val="7B5B0FE3"/>
    <w:rsid w:val="7C0970A4"/>
    <w:rsid w:val="7C2627A4"/>
    <w:rsid w:val="7C5237E8"/>
    <w:rsid w:val="7C5532A5"/>
    <w:rsid w:val="7C5D107E"/>
    <w:rsid w:val="7C9351F6"/>
    <w:rsid w:val="7CE00A57"/>
    <w:rsid w:val="7D5334EE"/>
    <w:rsid w:val="7DB8325B"/>
    <w:rsid w:val="7E0C75FE"/>
    <w:rsid w:val="7F427B3F"/>
    <w:rsid w:val="7F497570"/>
    <w:rsid w:val="7F752E89"/>
    <w:rsid w:val="7F753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note text"/>
    <w:basedOn w:val="1"/>
    <w:semiHidden/>
    <w:unhideWhenUsed/>
    <w:uiPriority w:val="99"/>
    <w:pPr>
      <w:snapToGrid w:val="0"/>
      <w:jc w:val="left"/>
    </w:pPr>
    <w:rPr>
      <w:sz w:val="18"/>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character" w:styleId="7">
    <w:name w:val="footnote reference"/>
    <w:basedOn w:val="5"/>
    <w:semiHidden/>
    <w:unhideWhenUsed/>
    <w:uiPriority w:val="99"/>
    <w:rPr>
      <w:vertAlign w:val="superscript"/>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批注框文本 Char"/>
    <w:basedOn w:val="5"/>
    <w:link w:val="2"/>
    <w:semiHidden/>
    <w:qFormat/>
    <w:uiPriority w:val="99"/>
    <w:rPr>
      <w:sz w:val="18"/>
      <w:szCs w:val="18"/>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753</Words>
  <Characters>4296</Characters>
  <Lines>35</Lines>
  <Paragraphs>10</Paragraphs>
  <TotalTime>7</TotalTime>
  <ScaleCrop>false</ScaleCrop>
  <LinksUpToDate>false</LinksUpToDate>
  <CharactersWithSpaces>5039</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2018-10-15T08:47:00Z</dcterms:created>
  <dc:creator>楚进科</dc:creator>
  <cp:lastModifiedBy>LJ</cp:lastModifiedBy>
  <dcterms:modified xsi:type="dcterms:W3CDTF">2018-11-02T00:43:03Z</dcterms:modified>
  <cp:revision>139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y fmtid="{D5CDD505-2E9C-101B-9397-08002B2CF9AE}" pid="3" name="KSORubyTemplateID" linkTarget="0">
    <vt:lpwstr>6</vt:lpwstr>
  </property>
</Properties>
</file>