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天津和石家庄两个城市居民每月文化消费次数占比大致相同；北京在确定每月文化消费次数中四次以上占比居多；而保定很大比例的居民不清楚自己每月文化消费次数，切各个确定的次数占比没有较大浮动。该调研结果表明，虽然京津冀地区人缘相亲，文化一脉，但是各区域文化消费情况却各有区别，且均有较大待开发潜力，所以有针对性引导培育文化消费市场对提高居民文化消费很有价值。</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2.3 京津冀各地区居民每月文化消费总量调研结果</w:t>
      </w:r>
    </w:p>
    <w:p>
      <w:pPr>
        <w:rPr>
          <w:rFonts w:hint="eastAsia" w:asciiTheme="minorEastAsia" w:hAnsiTheme="minorEastAsia" w:eastAsiaTheme="minorEastAsia"/>
          <w:sz w:val="18"/>
          <w:szCs w:val="18"/>
          <w:lang w:val="en-US" w:eastAsia="zh-CN"/>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p>
    <w:p>
      <w:pPr>
        <w:rPr>
          <w:rFonts w:hint="eastAsia"/>
        </w:rPr>
      </w:pPr>
      <w:r>
        <w:drawing>
          <wp:inline distT="0" distB="0" distL="0" distR="0">
            <wp:extent cx="2628900" cy="1973580"/>
            <wp:effectExtent l="0" t="0" r="0" b="0"/>
            <wp:docPr id="6" name="图片 6" descr="D:\py\ad\文化消费\北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py\ad\文化消费\北京.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r>
        <w:drawing>
          <wp:inline distT="0" distB="0" distL="0" distR="0">
            <wp:extent cx="2628900" cy="1973580"/>
            <wp:effectExtent l="0" t="0" r="0" b="0"/>
            <wp:docPr id="7" name="图片 7" descr="D:\py\ad\文化消费\天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py\ad\文化消费\天津.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pPr>
        <w:rPr>
          <w:rFonts w:hint="eastAsia"/>
        </w:rPr>
      </w:pPr>
      <w:r>
        <w:rPr>
          <w:rFonts w:hint="eastAsia"/>
        </w:rPr>
        <w:t xml:space="preserve">                北京                                      天津</w:t>
      </w:r>
    </w:p>
    <w:p>
      <w:pPr>
        <w:rPr>
          <w:rFonts w:hint="eastAsia"/>
        </w:rPr>
      </w:pPr>
      <w:r>
        <w:drawing>
          <wp:inline distT="0" distB="0" distL="0" distR="0">
            <wp:extent cx="2612390" cy="1961515"/>
            <wp:effectExtent l="0" t="0" r="0" b="0"/>
            <wp:docPr id="8" name="图片 8" descr="D:\py\ad\文化消费\石家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y\ad\文化消费\石家庄.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11485" cy="1960741"/>
                    </a:xfrm>
                    <a:prstGeom prst="rect">
                      <a:avLst/>
                    </a:prstGeom>
                    <a:noFill/>
                    <a:ln>
                      <a:noFill/>
                    </a:ln>
                  </pic:spPr>
                </pic:pic>
              </a:graphicData>
            </a:graphic>
          </wp:inline>
        </w:drawing>
      </w:r>
      <w:r>
        <w:drawing>
          <wp:inline distT="0" distB="0" distL="0" distR="0">
            <wp:extent cx="2628900" cy="1973580"/>
            <wp:effectExtent l="0" t="0" r="0" b="0"/>
            <wp:docPr id="9" name="图片 9" descr="D:\py\ad\文化消费\保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y\ad\文化消费\保定.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pPr>
        <w:rPr>
          <w:rFonts w:asciiTheme="minorEastAsia" w:hAnsiTheme="minorEastAsia"/>
          <w:sz w:val="18"/>
          <w:szCs w:val="18"/>
        </w:rPr>
      </w:pPr>
      <w:r>
        <w:rPr>
          <w:rFonts w:hint="eastAsia" w:asciiTheme="minorEastAsia" w:hAnsiTheme="minorEastAsia"/>
          <w:sz w:val="18"/>
          <w:szCs w:val="18"/>
        </w:rPr>
        <w:t xml:space="preserve">    在上述理论研究的基础上，关于本研究方案的理论设计，在充分考虑到本研究的目的与数据分析的可操作性后，将主要包括的内容:</w:t>
      </w:r>
      <w:r>
        <w:rPr>
          <w:rFonts w:hint="eastAsia" w:asciiTheme="minorEastAsia" w:hAnsiTheme="minorEastAsia"/>
          <w:sz w:val="18"/>
          <w:szCs w:val="18"/>
          <w:lang w:val="en-US" w:eastAsia="zh-CN"/>
        </w:rPr>
        <w:t>各个区域</w:t>
      </w:r>
      <w:r>
        <w:rPr>
          <w:rFonts w:hint="eastAsia" w:asciiTheme="minorEastAsia" w:hAnsiTheme="minorEastAsia"/>
          <w:sz w:val="18"/>
          <w:szCs w:val="18"/>
        </w:rPr>
        <w:t>影响个人文化消费因素。即：文化程度、年龄、经济收入、选择主因、获知途径。本研究还选择5个人口活动变量作为因素变量。其中，设置的具体选项如小：</w:t>
      </w:r>
    </w:p>
    <w:p>
      <w:pPr>
        <w:rPr>
          <w:rFonts w:asciiTheme="minorEastAsia" w:hAnsiTheme="minorEastAsia"/>
          <w:sz w:val="18"/>
          <w:szCs w:val="18"/>
        </w:rPr>
      </w:pPr>
      <w:r>
        <w:rPr>
          <w:rFonts w:hint="eastAsia" w:asciiTheme="minorEastAsia" w:hAnsiTheme="minorEastAsia"/>
          <w:sz w:val="18"/>
          <w:szCs w:val="18"/>
        </w:rPr>
        <w:t xml:space="preserve">    文化程度：初中及以下、高中及中专、本科及大专、硕士研究生、博士研究生及以上；</w:t>
      </w:r>
    </w:p>
    <w:p>
      <w:pPr>
        <w:ind w:firstLine="345"/>
        <w:rPr>
          <w:rFonts w:asciiTheme="minorEastAsia" w:hAnsiTheme="minorEastAsia"/>
          <w:sz w:val="18"/>
          <w:szCs w:val="18"/>
        </w:rPr>
      </w:pPr>
      <w:r>
        <w:rPr>
          <w:rFonts w:hint="eastAsia" w:asciiTheme="minorEastAsia" w:hAnsiTheme="minorEastAsia"/>
          <w:sz w:val="18"/>
          <w:szCs w:val="18"/>
        </w:rPr>
        <w:t>年龄：18岁以下、18-30岁、30-40岁、40-50岁、50-60岁；</w:t>
      </w:r>
    </w:p>
    <w:p>
      <w:pPr>
        <w:ind w:firstLine="345"/>
        <w:rPr>
          <w:rFonts w:asciiTheme="minorEastAsia" w:hAnsiTheme="minorEastAsia"/>
          <w:sz w:val="18"/>
          <w:szCs w:val="18"/>
        </w:rPr>
      </w:pPr>
      <w:r>
        <w:rPr>
          <w:rFonts w:hint="eastAsia" w:asciiTheme="minorEastAsia" w:hAnsiTheme="minorEastAsia"/>
          <w:sz w:val="18"/>
          <w:szCs w:val="18"/>
        </w:rPr>
        <w:t>经济收入：无收入、3000元以下、3000-5000元、5000-8000元、8000-15000元、15000以上；</w:t>
      </w:r>
    </w:p>
    <w:p>
      <w:pPr>
        <w:ind w:firstLine="345"/>
        <w:rPr>
          <w:rFonts w:asciiTheme="minorEastAsia" w:hAnsiTheme="minorEastAsia"/>
          <w:sz w:val="18"/>
          <w:szCs w:val="18"/>
        </w:rPr>
      </w:pPr>
      <w:r>
        <w:rPr>
          <w:rFonts w:hint="eastAsia" w:asciiTheme="minorEastAsia" w:hAnsiTheme="minorEastAsia"/>
          <w:sz w:val="18"/>
          <w:szCs w:val="18"/>
        </w:rPr>
        <w:t>选择主因：个人兴趣、媒体宣传、优惠折扣、亲朋好友的评价、进行消费的便利程度、惯性消费；</w:t>
      </w:r>
    </w:p>
    <w:p>
      <w:pPr>
        <w:ind w:firstLine="345"/>
        <w:rPr>
          <w:rFonts w:hint="eastAsia" w:asciiTheme="minorEastAsia" w:hAnsiTheme="minorEastAsia"/>
          <w:sz w:val="18"/>
          <w:szCs w:val="18"/>
        </w:rPr>
      </w:pPr>
      <w:r>
        <w:rPr>
          <w:rFonts w:hint="eastAsia" w:asciiTheme="minorEastAsia" w:hAnsiTheme="minorEastAsia"/>
          <w:sz w:val="18"/>
          <w:szCs w:val="18"/>
        </w:rPr>
        <w:t>获知途径：电视、网络、报刊、文化消费场所阵地广告、亲朋好友、户外广告、移动媒体（地铁、公交广告）、手机、广播、其他；</w:t>
      </w:r>
    </w:p>
    <w:p>
      <w:pPr>
        <w:ind w:firstLine="345"/>
        <w:rPr>
          <w:rFonts w:hint="eastAsia" w:asciiTheme="minorEastAsia" w:hAnsiTheme="minorEastAsia"/>
          <w:sz w:val="18"/>
          <w:szCs w:val="18"/>
        </w:rPr>
      </w:pPr>
      <w:r>
        <w:rPr>
          <w:rFonts w:hint="eastAsia" w:asciiTheme="minorEastAsia" w:hAnsiTheme="minorEastAsia"/>
          <w:sz w:val="18"/>
          <w:szCs w:val="18"/>
        </w:rPr>
        <w:t>本次分析是采用关联分析算法进行分析，关联规则相关应用：</w:t>
      </w:r>
    </w:p>
    <w:p>
      <w:pPr>
        <w:ind w:firstLine="360" w:firstLineChars="200"/>
        <w:rPr>
          <w:rFonts w:asciiTheme="minorEastAsia" w:hAnsiTheme="minorEastAsia"/>
          <w:sz w:val="18"/>
          <w:szCs w:val="18"/>
        </w:rPr>
      </w:pPr>
      <w:r>
        <w:rPr>
          <w:rFonts w:hint="eastAsia" w:asciiTheme="minorEastAsia" w:hAnsiTheme="minorEastAsia"/>
          <w:sz w:val="18"/>
          <w:szCs w:val="18"/>
        </w:rPr>
        <w:t>1. Apriori算法应用广泛，可用于消费市场价格分析，猜测顾客的消费习惯，比如较有名的“尿布和啤酒”的故事；</w:t>
      </w:r>
    </w:p>
    <w:p>
      <w:pPr>
        <w:ind w:firstLine="345"/>
        <w:rPr>
          <w:rFonts w:asciiTheme="minorEastAsia" w:hAnsiTheme="minorEastAsia"/>
          <w:sz w:val="18"/>
          <w:szCs w:val="18"/>
        </w:rPr>
      </w:pPr>
      <w:r>
        <w:rPr>
          <w:rFonts w:hint="eastAsia" w:asciiTheme="minorEastAsia" w:hAnsiTheme="minorEastAsia"/>
          <w:sz w:val="18"/>
          <w:szCs w:val="18"/>
        </w:rPr>
        <w:t>2.可用在用于高校管理中，根据挖掘规则可以有效地辅助学校管理部门有针对性的开展贫困助学工作；</w:t>
      </w:r>
    </w:p>
    <w:p>
      <w:pPr>
        <w:ind w:firstLine="345"/>
        <w:rPr>
          <w:rFonts w:hint="eastAsia" w:asciiTheme="minorEastAsia" w:hAnsiTheme="minorEastAsia"/>
          <w:sz w:val="18"/>
          <w:szCs w:val="18"/>
        </w:rPr>
      </w:pPr>
      <w:r>
        <w:rPr>
          <w:rFonts w:hint="eastAsia" w:asciiTheme="minorEastAsia" w:hAnsiTheme="minorEastAsia"/>
          <w:sz w:val="18"/>
          <w:szCs w:val="18"/>
        </w:rPr>
        <w:t>3.在移动通信领域中，指导运营商的业务运营和辅助业务提供商的决策制定。</w:t>
      </w:r>
    </w:p>
    <w:p>
      <w:pPr>
        <w:ind w:firstLine="345"/>
        <w:rPr>
          <w:rFonts w:hint="eastAsia" w:asciiTheme="minorEastAsia" w:hAnsiTheme="minorEastAsia"/>
          <w:sz w:val="18"/>
          <w:szCs w:val="18"/>
        </w:rPr>
      </w:pPr>
      <w:r>
        <w:rPr>
          <w:rFonts w:hint="eastAsia" w:asciiTheme="minorEastAsia" w:hAnsiTheme="minorEastAsia"/>
          <w:sz w:val="18"/>
          <w:szCs w:val="18"/>
        </w:rPr>
        <w:t>由关联分析相关应用可以联系本次研究，会有异曲同工之妙，即在用户填报的问卷当中找出上述因素变量之间的关联。</w:t>
      </w:r>
    </w:p>
    <w:p>
      <w:pPr>
        <w:rPr>
          <w:rFonts w:hint="eastAsia" w:asciiTheme="minorEastAsia" w:hAnsiTheme="minorEastAsia"/>
          <w:sz w:val="18"/>
          <w:szCs w:val="18"/>
        </w:rPr>
      </w:pP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2</w:t>
      </w:r>
      <w:r>
        <w:rPr>
          <w:rFonts w:hint="eastAsia" w:asciiTheme="minorEastAsia" w:hAnsiTheme="minorEastAsia"/>
        </w:rPr>
        <w:t xml:space="preserve"> </w:t>
      </w:r>
      <w:r>
        <w:rPr>
          <w:rFonts w:hint="eastAsia" w:asciiTheme="minorEastAsia" w:hAnsiTheme="minorEastAsia"/>
          <w:lang w:val="en-US" w:eastAsia="zh-CN"/>
        </w:rPr>
        <w:t xml:space="preserve"> 北京区域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0.46</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关联规则：1、获知途径（网络）——&gt;选择主因（个人兴趣），置信度等于0.86</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2、年龄（18-30岁）——&gt;选择主因（个人兴趣），置信度等于0.78</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3、文化程度（本科及大专）——&gt;选择主因（个人兴趣），置信度等于0.77</w:t>
      </w:r>
    </w:p>
    <w:p>
      <w:pPr>
        <w:rPr>
          <w:rFonts w:hint="eastAsia" w:asciiTheme="minorEastAsia" w:hAnsiTheme="minorEastAsia"/>
          <w:lang w:val="en-US" w:eastAsia="zh-CN"/>
        </w:rPr>
      </w:pPr>
      <w:bookmarkStart w:id="0" w:name="_GoBack"/>
      <w:bookmarkEnd w:id="0"/>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3</w:t>
      </w:r>
      <w:r>
        <w:rPr>
          <w:rFonts w:hint="eastAsia" w:asciiTheme="minorEastAsia" w:hAnsiTheme="minorEastAsia"/>
        </w:rPr>
        <w:t xml:space="preserve"> </w:t>
      </w:r>
      <w:r>
        <w:rPr>
          <w:rFonts w:hint="eastAsia" w:asciiTheme="minorEastAsia" w:hAnsiTheme="minorEastAsia"/>
          <w:lang w:val="en-US" w:eastAsia="zh-CN"/>
        </w:rPr>
        <w:t xml:space="preserve"> 天津区域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0.50</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）——&gt;文化程度（本科及大专），置信度等于0.74</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2、文化程度（本科及大专）——&gt;选择主因（个人兴趣），置信度等于0.68</w:t>
      </w:r>
    </w:p>
    <w:p>
      <w:pPr>
        <w:rPr>
          <w:rFonts w:hint="eastAsia" w:asciiTheme="minorEastAsia" w:hAnsiTheme="minorEastAsia"/>
          <w:sz w:val="18"/>
          <w:szCs w:val="18"/>
        </w:rPr>
      </w:pP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4</w:t>
      </w:r>
      <w:r>
        <w:rPr>
          <w:rFonts w:hint="eastAsia" w:asciiTheme="minorEastAsia" w:hAnsiTheme="minorEastAsia"/>
        </w:rPr>
        <w:t xml:space="preserve"> </w:t>
      </w:r>
      <w:r>
        <w:rPr>
          <w:rFonts w:hint="eastAsia" w:asciiTheme="minorEastAsia" w:hAnsiTheme="minorEastAsia"/>
          <w:lang w:val="en-US" w:eastAsia="zh-CN"/>
        </w:rPr>
        <w:t xml:space="preserve"> 石家庄区域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经济收入（3000元以下）</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关联规则：1、获知途径（网络）——&gt;选择主因（个人兴趣），置信度等于0.83</w:t>
      </w:r>
    </w:p>
    <w:p>
      <w:pPr>
        <w:numPr>
          <w:ilvl w:val="0"/>
          <w:numId w:val="1"/>
        </w:numPr>
        <w:ind w:left="1320" w:leftChars="0" w:firstLine="0"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年龄（18-30岁）——&gt;选择主因（个人兴趣），置信度等于0.76</w:t>
      </w:r>
    </w:p>
    <w:p>
      <w:pPr>
        <w:numPr>
          <w:ilvl w:val="0"/>
          <w:numId w:val="1"/>
        </w:numPr>
        <w:ind w:left="1320" w:leftChars="0" w:firstLine="0"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）——&gt;文化程度（本科及大专），置信度等于0.74</w:t>
      </w:r>
    </w:p>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3</w:t>
      </w:r>
      <w:r>
        <w:rPr>
          <w:rFonts w:hint="eastAsia" w:asciiTheme="minorEastAsia" w:hAnsiTheme="minorEastAsia"/>
        </w:rPr>
        <w:t xml:space="preserve"> </w:t>
      </w:r>
      <w:r>
        <w:rPr>
          <w:rFonts w:hint="eastAsia" w:asciiTheme="minorEastAsia" w:hAnsiTheme="minorEastAsia"/>
          <w:lang w:val="en-US" w:eastAsia="zh-CN"/>
        </w:rPr>
        <w:t xml:space="preserve"> 保定区域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最小支持度：0.5，最小置信度：0.7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0.63</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 1、年龄（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）——&gt;文化程度（本科及大专），置信度等于0.93</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2、文化程度（本科及大专）——&gt;选择主因（个人兴趣），置信度等于0.72</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0355F"/>
    <w:multiLevelType w:val="singleLevel"/>
    <w:tmpl w:val="6C10355F"/>
    <w:lvl w:ilvl="0" w:tentative="0">
      <w:start w:val="2"/>
      <w:numFmt w:val="decimal"/>
      <w:suff w:val="nothing"/>
      <w:lvlText w:val="%1、"/>
      <w:lvlJc w:val="left"/>
      <w:pPr>
        <w:ind w:left="13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2C07"/>
    <w:rsid w:val="000106C0"/>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6B21"/>
    <w:rsid w:val="00270C5F"/>
    <w:rsid w:val="002A18F7"/>
    <w:rsid w:val="002C2F59"/>
    <w:rsid w:val="002D7C79"/>
    <w:rsid w:val="002E5462"/>
    <w:rsid w:val="002F5CF4"/>
    <w:rsid w:val="0030759B"/>
    <w:rsid w:val="0031253A"/>
    <w:rsid w:val="00330480"/>
    <w:rsid w:val="003313F5"/>
    <w:rsid w:val="003933D2"/>
    <w:rsid w:val="003A6154"/>
    <w:rsid w:val="003B2C15"/>
    <w:rsid w:val="003C3350"/>
    <w:rsid w:val="003D2EF0"/>
    <w:rsid w:val="003F5C02"/>
    <w:rsid w:val="00400268"/>
    <w:rsid w:val="0046016C"/>
    <w:rsid w:val="00461F01"/>
    <w:rsid w:val="004942A5"/>
    <w:rsid w:val="004B06D9"/>
    <w:rsid w:val="004C1ECE"/>
    <w:rsid w:val="004E6CE5"/>
    <w:rsid w:val="004F4371"/>
    <w:rsid w:val="00551263"/>
    <w:rsid w:val="005B2194"/>
    <w:rsid w:val="005C2C07"/>
    <w:rsid w:val="005E36C5"/>
    <w:rsid w:val="005E585F"/>
    <w:rsid w:val="005F2865"/>
    <w:rsid w:val="005F7B9B"/>
    <w:rsid w:val="00602972"/>
    <w:rsid w:val="006951A8"/>
    <w:rsid w:val="006A5572"/>
    <w:rsid w:val="006C4D30"/>
    <w:rsid w:val="006D0184"/>
    <w:rsid w:val="006F74A3"/>
    <w:rsid w:val="00721779"/>
    <w:rsid w:val="007559C2"/>
    <w:rsid w:val="007B4A22"/>
    <w:rsid w:val="007C6A54"/>
    <w:rsid w:val="007D4A4F"/>
    <w:rsid w:val="00803255"/>
    <w:rsid w:val="00836548"/>
    <w:rsid w:val="008610B5"/>
    <w:rsid w:val="008718D4"/>
    <w:rsid w:val="008722B8"/>
    <w:rsid w:val="008976B6"/>
    <w:rsid w:val="008C2CA3"/>
    <w:rsid w:val="008D06E2"/>
    <w:rsid w:val="008D5DF5"/>
    <w:rsid w:val="008F58B5"/>
    <w:rsid w:val="008F7B8D"/>
    <w:rsid w:val="0090140E"/>
    <w:rsid w:val="0092629C"/>
    <w:rsid w:val="00971CED"/>
    <w:rsid w:val="009F0F93"/>
    <w:rsid w:val="00A20B88"/>
    <w:rsid w:val="00A24203"/>
    <w:rsid w:val="00A73490"/>
    <w:rsid w:val="00A9317C"/>
    <w:rsid w:val="00AB4146"/>
    <w:rsid w:val="00B42F0E"/>
    <w:rsid w:val="00B56EF9"/>
    <w:rsid w:val="00B663DD"/>
    <w:rsid w:val="00B767AD"/>
    <w:rsid w:val="00B878E9"/>
    <w:rsid w:val="00B9677F"/>
    <w:rsid w:val="00BA291D"/>
    <w:rsid w:val="00BB3535"/>
    <w:rsid w:val="00BC54D0"/>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D7D"/>
    <w:rsid w:val="02266462"/>
    <w:rsid w:val="031370D6"/>
    <w:rsid w:val="039A297D"/>
    <w:rsid w:val="04A97AF0"/>
    <w:rsid w:val="062C5CC5"/>
    <w:rsid w:val="068648BA"/>
    <w:rsid w:val="06A54136"/>
    <w:rsid w:val="082B48F6"/>
    <w:rsid w:val="08F6065B"/>
    <w:rsid w:val="0B0367B4"/>
    <w:rsid w:val="0CB82A1C"/>
    <w:rsid w:val="0CFE3C73"/>
    <w:rsid w:val="11C30007"/>
    <w:rsid w:val="12EE5672"/>
    <w:rsid w:val="1340109C"/>
    <w:rsid w:val="13610EA0"/>
    <w:rsid w:val="13F857C3"/>
    <w:rsid w:val="160703F3"/>
    <w:rsid w:val="18636968"/>
    <w:rsid w:val="1F15698E"/>
    <w:rsid w:val="22B36073"/>
    <w:rsid w:val="23313E2F"/>
    <w:rsid w:val="238E5E11"/>
    <w:rsid w:val="26FF7D79"/>
    <w:rsid w:val="27D061FF"/>
    <w:rsid w:val="29690FF5"/>
    <w:rsid w:val="29A57990"/>
    <w:rsid w:val="2BC20F1C"/>
    <w:rsid w:val="2C445A98"/>
    <w:rsid w:val="2CD71F35"/>
    <w:rsid w:val="2E672E10"/>
    <w:rsid w:val="2F731945"/>
    <w:rsid w:val="304C2E48"/>
    <w:rsid w:val="30BB4CD1"/>
    <w:rsid w:val="30E94600"/>
    <w:rsid w:val="31A0294E"/>
    <w:rsid w:val="33625533"/>
    <w:rsid w:val="35D91FFB"/>
    <w:rsid w:val="35E709F9"/>
    <w:rsid w:val="36813287"/>
    <w:rsid w:val="37864B39"/>
    <w:rsid w:val="38801F3A"/>
    <w:rsid w:val="3A50147C"/>
    <w:rsid w:val="3C0B09E5"/>
    <w:rsid w:val="3C303C31"/>
    <w:rsid w:val="3F0F0778"/>
    <w:rsid w:val="3F33311B"/>
    <w:rsid w:val="410716B7"/>
    <w:rsid w:val="41504353"/>
    <w:rsid w:val="42114030"/>
    <w:rsid w:val="42466DDA"/>
    <w:rsid w:val="44E23890"/>
    <w:rsid w:val="482E7590"/>
    <w:rsid w:val="48AB7BB4"/>
    <w:rsid w:val="4B355098"/>
    <w:rsid w:val="4CC130B6"/>
    <w:rsid w:val="4FA36F82"/>
    <w:rsid w:val="51813520"/>
    <w:rsid w:val="5A272026"/>
    <w:rsid w:val="5AB01AC2"/>
    <w:rsid w:val="5ADA1FBD"/>
    <w:rsid w:val="5CE67847"/>
    <w:rsid w:val="5D3A032D"/>
    <w:rsid w:val="5D54791B"/>
    <w:rsid w:val="5E111D14"/>
    <w:rsid w:val="5E9B6270"/>
    <w:rsid w:val="5FE3709A"/>
    <w:rsid w:val="617A19FA"/>
    <w:rsid w:val="636102A5"/>
    <w:rsid w:val="64C27BDB"/>
    <w:rsid w:val="64DA0E34"/>
    <w:rsid w:val="69B43E8C"/>
    <w:rsid w:val="6BED01C0"/>
    <w:rsid w:val="6D1C718B"/>
    <w:rsid w:val="74E85821"/>
    <w:rsid w:val="76603FA3"/>
    <w:rsid w:val="771759AA"/>
    <w:rsid w:val="7B5B0FE3"/>
    <w:rsid w:val="7C5237E8"/>
    <w:rsid w:val="7E0C75FE"/>
    <w:rsid w:val="7F49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22</TotalTime>
  <ScaleCrop>false</ScaleCrop>
  <LinksUpToDate>false</LinksUpToDate>
  <CharactersWithSpaces>2401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2018-10-17T23:06:08Z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