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972" w:rsidRPr="00AB4146" w:rsidRDefault="00602972">
      <w:pPr>
        <w:rPr>
          <w:rFonts w:asciiTheme="minorEastAsia" w:hAnsiTheme="minorEastAsia"/>
          <w:szCs w:val="21"/>
        </w:rPr>
      </w:pPr>
      <w:r w:rsidRPr="00AB4146">
        <w:rPr>
          <w:rFonts w:asciiTheme="minorEastAsia" w:hAnsiTheme="minorEastAsia"/>
          <w:szCs w:val="21"/>
        </w:rPr>
        <w:t>2</w:t>
      </w:r>
      <w:r w:rsidRPr="00AB4146">
        <w:rPr>
          <w:rFonts w:asciiTheme="minorEastAsia" w:hAnsiTheme="minorEastAsia" w:hint="eastAsia"/>
          <w:szCs w:val="21"/>
        </w:rPr>
        <w:t xml:space="preserve">  京津冀地区居民文化消费</w:t>
      </w:r>
      <w:r w:rsidR="00B56EF9" w:rsidRPr="00AB4146">
        <w:rPr>
          <w:rFonts w:asciiTheme="minorEastAsia" w:hAnsiTheme="minorEastAsia" w:hint="eastAsia"/>
          <w:szCs w:val="21"/>
        </w:rPr>
        <w:t>总量研究</w:t>
      </w:r>
    </w:p>
    <w:p w:rsidR="00602972" w:rsidRPr="00AB4146" w:rsidRDefault="00602972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 xml:space="preserve">    </w:t>
      </w:r>
      <w:r w:rsidRPr="00AB4146">
        <w:rPr>
          <w:rFonts w:asciiTheme="minorEastAsia" w:hAnsiTheme="minorEastAsia" w:hint="eastAsia"/>
          <w:sz w:val="18"/>
          <w:szCs w:val="18"/>
        </w:rPr>
        <w:t>文化消费是指用文化产品或服务来满足人们精神需求的一种消费，主要包括教育、文化娱乐、体育健身、旅游观光等方面。</w:t>
      </w:r>
      <w:r w:rsidR="0019182F" w:rsidRPr="00AB4146">
        <w:rPr>
          <w:rFonts w:asciiTheme="minorEastAsia" w:hAnsiTheme="minorEastAsia" w:hint="eastAsia"/>
          <w:sz w:val="18"/>
          <w:szCs w:val="18"/>
        </w:rPr>
        <w:t>本研究是从三省市文化消费总量，选取北京、天津、石家庄、保定四个代表性城市居民作为调查对象，进行区域文化消费市场的定量研究，以期探究区域内居民文化消费习惯与倾向</w:t>
      </w:r>
      <w:r w:rsidR="00721779" w:rsidRPr="00AB4146">
        <w:rPr>
          <w:rFonts w:asciiTheme="minorEastAsia" w:hAnsiTheme="minorEastAsia" w:hint="eastAsia"/>
          <w:sz w:val="18"/>
          <w:szCs w:val="18"/>
        </w:rPr>
        <w:t>，从而有针对性引导培育文化消费市场，推动产业区域化整合及协同发展，本研究每个城市随机发放问卷200份，共发放问卷800份，经严格筛选，共收集有效问卷</w:t>
      </w:r>
      <w:r w:rsidR="00D30268" w:rsidRPr="00AB4146">
        <w:rPr>
          <w:rFonts w:asciiTheme="minorEastAsia" w:hAnsiTheme="minorEastAsia" w:hint="eastAsia"/>
          <w:sz w:val="18"/>
          <w:szCs w:val="18"/>
        </w:rPr>
        <w:t>7</w:t>
      </w:r>
      <w:r w:rsidR="003C3350" w:rsidRPr="00AB4146">
        <w:rPr>
          <w:rFonts w:asciiTheme="minorEastAsia" w:hAnsiTheme="minorEastAsia" w:hint="eastAsia"/>
          <w:sz w:val="18"/>
          <w:szCs w:val="18"/>
        </w:rPr>
        <w:t>23</w:t>
      </w:r>
      <w:r w:rsidR="006C4D30" w:rsidRPr="00AB4146">
        <w:rPr>
          <w:rFonts w:asciiTheme="minorEastAsia" w:hAnsiTheme="minorEastAsia" w:hint="eastAsia"/>
          <w:sz w:val="18"/>
          <w:szCs w:val="18"/>
        </w:rPr>
        <w:t>份，</w:t>
      </w:r>
      <w:r w:rsidR="00F3099D" w:rsidRPr="00AB4146">
        <w:rPr>
          <w:rFonts w:asciiTheme="minorEastAsia" w:hAnsiTheme="minorEastAsia" w:hint="eastAsia"/>
          <w:sz w:val="18"/>
          <w:szCs w:val="18"/>
        </w:rPr>
        <w:t>其中北京有效问卷178份，天津有效问卷168份，石家庄有效</w:t>
      </w:r>
      <w:r w:rsidR="003C3350" w:rsidRPr="00AB4146">
        <w:rPr>
          <w:rFonts w:asciiTheme="minorEastAsia" w:hAnsiTheme="minorEastAsia" w:hint="eastAsia"/>
          <w:sz w:val="18"/>
          <w:szCs w:val="18"/>
        </w:rPr>
        <w:t>200</w:t>
      </w:r>
      <w:r w:rsidR="00F3099D" w:rsidRPr="00AB4146">
        <w:rPr>
          <w:rFonts w:asciiTheme="minorEastAsia" w:hAnsiTheme="minorEastAsia" w:hint="eastAsia"/>
          <w:sz w:val="18"/>
          <w:szCs w:val="18"/>
        </w:rPr>
        <w:t>份，保定有效问卷177份。</w:t>
      </w:r>
    </w:p>
    <w:p w:rsidR="00721779" w:rsidRDefault="00721779"/>
    <w:p w:rsidR="00721779" w:rsidRPr="00AB4146" w:rsidRDefault="00721779">
      <w:pPr>
        <w:rPr>
          <w:rFonts w:asciiTheme="minorEastAsia" w:hAnsiTheme="minorEastAsia"/>
        </w:rPr>
      </w:pPr>
      <w:r w:rsidRPr="00AB4146">
        <w:rPr>
          <w:rFonts w:asciiTheme="minorEastAsia" w:hAnsiTheme="minorEastAsia" w:hint="eastAsia"/>
        </w:rPr>
        <w:t>2.1</w:t>
      </w:r>
      <w:r w:rsidR="00CE3067" w:rsidRPr="00AB4146">
        <w:rPr>
          <w:rFonts w:asciiTheme="minorEastAsia" w:hAnsiTheme="minorEastAsia" w:hint="eastAsia"/>
        </w:rPr>
        <w:t xml:space="preserve"> </w:t>
      </w:r>
      <w:r w:rsidR="00E635B1" w:rsidRPr="00AB4146">
        <w:rPr>
          <w:rFonts w:asciiTheme="minorEastAsia" w:hAnsiTheme="minorEastAsia" w:hint="eastAsia"/>
        </w:rPr>
        <w:t>京津冀</w:t>
      </w:r>
      <w:r w:rsidR="00CE3067" w:rsidRPr="00AB4146">
        <w:rPr>
          <w:rFonts w:asciiTheme="minorEastAsia" w:hAnsiTheme="minorEastAsia" w:hint="eastAsia"/>
        </w:rPr>
        <w:t>各地区居民每月文化消费次数调研结果</w:t>
      </w:r>
    </w:p>
    <w:p w:rsidR="00CE3067" w:rsidRPr="00AB4146" w:rsidRDefault="00F3099D" w:rsidP="003313F5">
      <w:pPr>
        <w:ind w:firstLine="420"/>
        <w:rPr>
          <w:sz w:val="18"/>
          <w:szCs w:val="18"/>
        </w:rPr>
      </w:pPr>
      <w:r w:rsidRPr="00AB4146">
        <w:rPr>
          <w:rFonts w:hint="eastAsia"/>
          <w:sz w:val="18"/>
          <w:szCs w:val="18"/>
        </w:rPr>
        <w:t>经过对京津冀各地区居民每月文化消费次数调研，</w:t>
      </w:r>
      <w:r w:rsidR="006D0184" w:rsidRPr="00AB4146">
        <w:rPr>
          <w:rFonts w:hint="eastAsia"/>
          <w:sz w:val="18"/>
          <w:szCs w:val="18"/>
        </w:rPr>
        <w:t>可发现</w:t>
      </w:r>
      <w:r w:rsidR="00232108" w:rsidRPr="00AB4146">
        <w:rPr>
          <w:rFonts w:hint="eastAsia"/>
          <w:sz w:val="18"/>
          <w:szCs w:val="18"/>
        </w:rPr>
        <w:t>各个城市均有很大比例的居民对自己每月文化消费次数没有明确</w:t>
      </w:r>
      <w:r w:rsidR="00071E94" w:rsidRPr="00AB4146">
        <w:rPr>
          <w:rFonts w:hint="eastAsia"/>
          <w:sz w:val="18"/>
          <w:szCs w:val="18"/>
        </w:rPr>
        <w:t>次数；天津和石家庄两个城市居民每月文化消费次数占比大致</w:t>
      </w:r>
      <w:r w:rsidR="00FD1955" w:rsidRPr="00AB4146">
        <w:rPr>
          <w:rFonts w:hint="eastAsia"/>
          <w:sz w:val="18"/>
          <w:szCs w:val="18"/>
        </w:rPr>
        <w:t>相同；北京在确定每月文化消费次数中四次以上占比居多；而保定很大比例的居民不清楚自己每月文化消费次数，切各个确定的次数占比没有较大浮动。</w:t>
      </w:r>
      <w:r w:rsidR="00551263" w:rsidRPr="00AB4146">
        <w:rPr>
          <w:rFonts w:hint="eastAsia"/>
          <w:sz w:val="18"/>
          <w:szCs w:val="18"/>
        </w:rPr>
        <w:t>该调研结果表明，虽然京津冀地区人缘相亲，文化一脉，但是各区域文化消费情况却各有区别，且均有较大待开发潜力，所以有针对性引导培育文化消费市场对提高居民文化</w:t>
      </w:r>
      <w:r w:rsidR="00D216BD" w:rsidRPr="00AB4146">
        <w:rPr>
          <w:rFonts w:hint="eastAsia"/>
          <w:sz w:val="18"/>
          <w:szCs w:val="18"/>
        </w:rPr>
        <w:t>消费很有价值</w:t>
      </w:r>
      <w:r w:rsidR="00551263" w:rsidRPr="00AB4146">
        <w:rPr>
          <w:rFonts w:hint="eastAsia"/>
          <w:sz w:val="18"/>
          <w:szCs w:val="18"/>
        </w:rPr>
        <w:t>。</w:t>
      </w:r>
    </w:p>
    <w:tbl>
      <w:tblPr>
        <w:tblStyle w:val="a3"/>
        <w:tblW w:w="0" w:type="auto"/>
        <w:tblLook w:val="04A0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城市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一次占比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二次占比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三次占比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四次占比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四次以上占比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不一定占比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北京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11.24%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11.8%</w:t>
            </w:r>
          </w:p>
        </w:tc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10.67%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2.25%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16.29%</w:t>
            </w:r>
          </w:p>
        </w:tc>
        <w:tc>
          <w:tcPr>
            <w:tcW w:w="1218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47.75%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天津</w:t>
            </w:r>
          </w:p>
        </w:tc>
        <w:tc>
          <w:tcPr>
            <w:tcW w:w="1217" w:type="dxa"/>
          </w:tcPr>
          <w:p w:rsidR="003313F5" w:rsidRPr="008D06E2" w:rsidRDefault="008C2CA3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10.12%</w:t>
            </w:r>
          </w:p>
        </w:tc>
        <w:tc>
          <w:tcPr>
            <w:tcW w:w="1217" w:type="dxa"/>
          </w:tcPr>
          <w:p w:rsidR="003313F5" w:rsidRPr="008D06E2" w:rsidRDefault="008C2CA3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20.24%</w:t>
            </w:r>
          </w:p>
        </w:tc>
        <w:tc>
          <w:tcPr>
            <w:tcW w:w="1217" w:type="dxa"/>
          </w:tcPr>
          <w:p w:rsidR="003313F5" w:rsidRPr="008D06E2" w:rsidRDefault="000B283A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11.9%</w:t>
            </w:r>
          </w:p>
        </w:tc>
        <w:tc>
          <w:tcPr>
            <w:tcW w:w="1218" w:type="dxa"/>
          </w:tcPr>
          <w:p w:rsidR="003313F5" w:rsidRPr="008D06E2" w:rsidRDefault="00E55AA9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9.52%</w:t>
            </w:r>
          </w:p>
        </w:tc>
        <w:tc>
          <w:tcPr>
            <w:tcW w:w="1218" w:type="dxa"/>
          </w:tcPr>
          <w:p w:rsidR="003313F5" w:rsidRPr="008D06E2" w:rsidRDefault="0092629C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11.9%</w:t>
            </w:r>
          </w:p>
        </w:tc>
        <w:tc>
          <w:tcPr>
            <w:tcW w:w="1218" w:type="dxa"/>
          </w:tcPr>
          <w:p w:rsidR="003313F5" w:rsidRPr="008D06E2" w:rsidRDefault="0092629C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36.31%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石家庄</w:t>
            </w:r>
          </w:p>
        </w:tc>
        <w:tc>
          <w:tcPr>
            <w:tcW w:w="1217" w:type="dxa"/>
          </w:tcPr>
          <w:p w:rsidR="003313F5" w:rsidRPr="008D06E2" w:rsidRDefault="005F286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8.0%</w:t>
            </w:r>
          </w:p>
        </w:tc>
        <w:tc>
          <w:tcPr>
            <w:tcW w:w="1217" w:type="dxa"/>
          </w:tcPr>
          <w:p w:rsidR="003313F5" w:rsidRPr="008D06E2" w:rsidRDefault="005F286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17.0%</w:t>
            </w:r>
          </w:p>
        </w:tc>
        <w:tc>
          <w:tcPr>
            <w:tcW w:w="1217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12.5%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10.5%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16.0%</w:t>
            </w:r>
          </w:p>
        </w:tc>
        <w:tc>
          <w:tcPr>
            <w:tcW w:w="1218" w:type="dxa"/>
          </w:tcPr>
          <w:p w:rsidR="003313F5" w:rsidRPr="008D06E2" w:rsidRDefault="0090140E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36.0%</w:t>
            </w:r>
          </w:p>
        </w:tc>
      </w:tr>
      <w:tr w:rsidR="003313F5" w:rsidTr="003313F5">
        <w:tc>
          <w:tcPr>
            <w:tcW w:w="1217" w:type="dxa"/>
          </w:tcPr>
          <w:p w:rsidR="003313F5" w:rsidRPr="008D06E2" w:rsidRDefault="003313F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保定</w:t>
            </w:r>
          </w:p>
        </w:tc>
        <w:tc>
          <w:tcPr>
            <w:tcW w:w="1217" w:type="dxa"/>
          </w:tcPr>
          <w:p w:rsidR="003313F5" w:rsidRPr="008D06E2" w:rsidRDefault="00E23C90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6.21%</w:t>
            </w:r>
          </w:p>
        </w:tc>
        <w:tc>
          <w:tcPr>
            <w:tcW w:w="1217" w:type="dxa"/>
          </w:tcPr>
          <w:p w:rsidR="003313F5" w:rsidRPr="008D06E2" w:rsidRDefault="00F90FE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10.73%</w:t>
            </w:r>
          </w:p>
        </w:tc>
        <w:tc>
          <w:tcPr>
            <w:tcW w:w="1217" w:type="dxa"/>
          </w:tcPr>
          <w:p w:rsidR="003313F5" w:rsidRPr="008D06E2" w:rsidRDefault="003B2C1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9.04%</w:t>
            </w:r>
          </w:p>
        </w:tc>
        <w:tc>
          <w:tcPr>
            <w:tcW w:w="1218" w:type="dxa"/>
          </w:tcPr>
          <w:p w:rsidR="003313F5" w:rsidRPr="008D06E2" w:rsidRDefault="00F32F41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7.91%</w:t>
            </w:r>
          </w:p>
        </w:tc>
        <w:tc>
          <w:tcPr>
            <w:tcW w:w="1218" w:type="dxa"/>
          </w:tcPr>
          <w:p w:rsidR="003313F5" w:rsidRPr="008D06E2" w:rsidRDefault="008610B5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7.91%</w:t>
            </w:r>
          </w:p>
        </w:tc>
        <w:tc>
          <w:tcPr>
            <w:tcW w:w="1218" w:type="dxa"/>
          </w:tcPr>
          <w:p w:rsidR="003313F5" w:rsidRPr="008D06E2" w:rsidRDefault="008976B6" w:rsidP="00D56EB7">
            <w:pPr>
              <w:jc w:val="center"/>
              <w:rPr>
                <w:sz w:val="15"/>
                <w:szCs w:val="15"/>
              </w:rPr>
            </w:pPr>
            <w:r w:rsidRPr="008D06E2">
              <w:rPr>
                <w:sz w:val="15"/>
                <w:szCs w:val="15"/>
              </w:rPr>
              <w:t>58.19%</w:t>
            </w:r>
          </w:p>
        </w:tc>
      </w:tr>
    </w:tbl>
    <w:p w:rsidR="005F7B9B" w:rsidRDefault="005F7B9B" w:rsidP="00D07376"/>
    <w:p w:rsidR="00D07376" w:rsidRPr="00AB4146" w:rsidRDefault="00D07376" w:rsidP="00D07376">
      <w:pPr>
        <w:rPr>
          <w:rFonts w:asciiTheme="minorEastAsia" w:hAnsiTheme="minorEastAsia"/>
        </w:rPr>
      </w:pPr>
      <w:r w:rsidRPr="00AB4146">
        <w:rPr>
          <w:rFonts w:asciiTheme="minorEastAsia" w:hAnsiTheme="minorEastAsia" w:hint="eastAsia"/>
        </w:rPr>
        <w:t>2.2 京津冀各地区居民每月文化消费</w:t>
      </w:r>
      <w:r w:rsidR="00FD12E5" w:rsidRPr="00AB4146">
        <w:rPr>
          <w:rFonts w:asciiTheme="minorEastAsia" w:hAnsiTheme="minorEastAsia" w:hint="eastAsia"/>
        </w:rPr>
        <w:t>资金数额</w:t>
      </w:r>
      <w:r w:rsidRPr="00AB4146">
        <w:rPr>
          <w:rFonts w:asciiTheme="minorEastAsia" w:hAnsiTheme="minorEastAsia" w:hint="eastAsia"/>
        </w:rPr>
        <w:t>调研结果</w:t>
      </w:r>
    </w:p>
    <w:p w:rsidR="00D07376" w:rsidRPr="00AB4146" w:rsidRDefault="00D07376" w:rsidP="00D07376">
      <w:pPr>
        <w:ind w:firstLine="420"/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经过对</w:t>
      </w:r>
      <w:r w:rsidR="005F7B9B" w:rsidRPr="00AB4146">
        <w:rPr>
          <w:rFonts w:asciiTheme="minorEastAsia" w:hAnsiTheme="minorEastAsia" w:hint="eastAsia"/>
          <w:sz w:val="18"/>
          <w:szCs w:val="18"/>
        </w:rPr>
        <w:t>京津冀各地区居民每月文化消费资金数额调研</w:t>
      </w:r>
      <w:r w:rsidRPr="00AB4146">
        <w:rPr>
          <w:rFonts w:asciiTheme="minorEastAsia" w:hAnsiTheme="minorEastAsia" w:hint="eastAsia"/>
          <w:sz w:val="18"/>
          <w:szCs w:val="18"/>
        </w:rPr>
        <w:t>，可发现</w:t>
      </w:r>
      <w:r w:rsidR="004F4371" w:rsidRPr="00AB4146">
        <w:rPr>
          <w:rFonts w:asciiTheme="minorEastAsia" w:hAnsiTheme="minorEastAsia" w:hint="eastAsia"/>
          <w:sz w:val="18"/>
          <w:szCs w:val="18"/>
        </w:rPr>
        <w:t>石家庄和保定居民每月文化消费资金数额在100元以下范围内占比远高于北京和天津</w:t>
      </w:r>
      <w:r w:rsidR="00D0778D" w:rsidRPr="00AB4146">
        <w:rPr>
          <w:rFonts w:asciiTheme="minorEastAsia" w:hAnsiTheme="minorEastAsia" w:hint="eastAsia"/>
          <w:sz w:val="18"/>
          <w:szCs w:val="18"/>
        </w:rPr>
        <w:t>；</w:t>
      </w:r>
      <w:r w:rsidRPr="00AB4146">
        <w:rPr>
          <w:rFonts w:asciiTheme="minorEastAsia" w:hAnsiTheme="minorEastAsia" w:hint="eastAsia"/>
          <w:sz w:val="18"/>
          <w:szCs w:val="18"/>
        </w:rPr>
        <w:t>各个城市均有很大比例的居民</w:t>
      </w:r>
      <w:r w:rsidR="003933D2" w:rsidRPr="00AB4146">
        <w:rPr>
          <w:rFonts w:asciiTheme="minorEastAsia" w:hAnsiTheme="minorEastAsia" w:hint="eastAsia"/>
          <w:sz w:val="18"/>
          <w:szCs w:val="18"/>
        </w:rPr>
        <w:t>的</w:t>
      </w:r>
      <w:r w:rsidRPr="00AB4146">
        <w:rPr>
          <w:rFonts w:asciiTheme="minorEastAsia" w:hAnsiTheme="minorEastAsia" w:hint="eastAsia"/>
          <w:sz w:val="18"/>
          <w:szCs w:val="18"/>
        </w:rPr>
        <w:t>每月文化消费</w:t>
      </w:r>
      <w:r w:rsidR="003933D2" w:rsidRPr="00AB4146">
        <w:rPr>
          <w:rFonts w:asciiTheme="minorEastAsia" w:hAnsiTheme="minorEastAsia" w:hint="eastAsia"/>
          <w:sz w:val="18"/>
          <w:szCs w:val="18"/>
        </w:rPr>
        <w:t>资金数额在100-500范围</w:t>
      </w:r>
      <w:r w:rsidRPr="00AB4146">
        <w:rPr>
          <w:rFonts w:asciiTheme="minorEastAsia" w:hAnsiTheme="minorEastAsia" w:hint="eastAsia"/>
          <w:sz w:val="18"/>
          <w:szCs w:val="18"/>
        </w:rPr>
        <w:t>；</w:t>
      </w:r>
      <w:r w:rsidR="003933D2" w:rsidRPr="00AB4146">
        <w:rPr>
          <w:rFonts w:asciiTheme="minorEastAsia" w:hAnsiTheme="minorEastAsia" w:hint="eastAsia"/>
          <w:sz w:val="18"/>
          <w:szCs w:val="18"/>
        </w:rPr>
        <w:t>北京和天津</w:t>
      </w:r>
      <w:r w:rsidR="004F4371" w:rsidRPr="00AB4146">
        <w:rPr>
          <w:rFonts w:asciiTheme="minorEastAsia" w:hAnsiTheme="minorEastAsia" w:hint="eastAsia"/>
          <w:sz w:val="18"/>
          <w:szCs w:val="18"/>
        </w:rPr>
        <w:t>居民每月文化消费资金数额在500-1000范围内远高于石家庄和保定</w:t>
      </w:r>
      <w:r w:rsidR="00D0778D" w:rsidRPr="00AB4146">
        <w:rPr>
          <w:rFonts w:asciiTheme="minorEastAsia" w:hAnsiTheme="minorEastAsia" w:hint="eastAsia"/>
          <w:sz w:val="18"/>
          <w:szCs w:val="18"/>
        </w:rPr>
        <w:t>；各个城市均有很小比例的居民每月文化消费资金数额在</w:t>
      </w:r>
      <w:r w:rsidR="00D50D5B" w:rsidRPr="00AB4146">
        <w:rPr>
          <w:rFonts w:asciiTheme="minorEastAsia" w:hAnsiTheme="minorEastAsia" w:hint="eastAsia"/>
          <w:sz w:val="18"/>
          <w:szCs w:val="18"/>
        </w:rPr>
        <w:t>1000以上</w:t>
      </w:r>
      <w:r w:rsidR="00D0778D" w:rsidRPr="00AB4146">
        <w:rPr>
          <w:rFonts w:asciiTheme="minorEastAsia" w:hAnsiTheme="minorEastAsia" w:hint="eastAsia"/>
          <w:sz w:val="18"/>
          <w:szCs w:val="18"/>
        </w:rPr>
        <w:t>范围</w:t>
      </w:r>
      <w:r w:rsidR="000B073D" w:rsidRPr="00AB4146">
        <w:rPr>
          <w:rFonts w:asciiTheme="minorEastAsia" w:hAnsiTheme="minorEastAsia" w:hint="eastAsia"/>
          <w:sz w:val="18"/>
          <w:szCs w:val="18"/>
        </w:rPr>
        <w:t>；而在居民每月文化消费资金数额2000元以上的居民占比北京远高于其他三个城市。</w:t>
      </w:r>
      <w:r w:rsidRPr="00AB4146">
        <w:rPr>
          <w:rFonts w:asciiTheme="minorEastAsia" w:hAnsiTheme="minorEastAsia" w:hint="eastAsia"/>
          <w:sz w:val="18"/>
          <w:szCs w:val="18"/>
        </w:rPr>
        <w:t>该调研结果表明，虽然京津冀地区人缘相亲，文化一脉，但是各区域文化消费情况却各有区别，且均有较大待开发潜力，所以推动产业区域化整合及协同发展对提高居民文化</w:t>
      </w:r>
      <w:r w:rsidR="00B878E9" w:rsidRPr="00AB4146">
        <w:rPr>
          <w:rFonts w:asciiTheme="minorEastAsia" w:hAnsiTheme="minorEastAsia" w:hint="eastAsia"/>
          <w:sz w:val="18"/>
          <w:szCs w:val="18"/>
        </w:rPr>
        <w:t>消费很有价值</w:t>
      </w:r>
      <w:r w:rsidRPr="00AB4146">
        <w:rPr>
          <w:rFonts w:asciiTheme="minorEastAsia" w:hAnsiTheme="minorEastAsia" w:hint="eastAsia"/>
          <w:sz w:val="18"/>
          <w:szCs w:val="18"/>
        </w:rPr>
        <w:t>。</w:t>
      </w:r>
    </w:p>
    <w:tbl>
      <w:tblPr>
        <w:tblStyle w:val="a3"/>
        <w:tblW w:w="0" w:type="auto"/>
        <w:tblLook w:val="04A0"/>
      </w:tblPr>
      <w:tblGrid>
        <w:gridCol w:w="1403"/>
        <w:gridCol w:w="1403"/>
        <w:gridCol w:w="1403"/>
        <w:gridCol w:w="1403"/>
        <w:gridCol w:w="1404"/>
        <w:gridCol w:w="1404"/>
      </w:tblGrid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城市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rFonts w:hint="eastAsia"/>
                <w:sz w:val="15"/>
                <w:szCs w:val="15"/>
              </w:rPr>
              <w:t>元以下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</w:t>
            </w:r>
            <w:r>
              <w:rPr>
                <w:sz w:val="15"/>
                <w:szCs w:val="15"/>
              </w:rPr>
              <w:t>-</w:t>
            </w:r>
            <w:r>
              <w:rPr>
                <w:rFonts w:hint="eastAsia"/>
                <w:sz w:val="15"/>
                <w:szCs w:val="15"/>
              </w:rPr>
              <w:t>500</w:t>
            </w:r>
            <w:r>
              <w:rPr>
                <w:rFonts w:hint="eastAsia"/>
                <w:sz w:val="15"/>
                <w:szCs w:val="15"/>
              </w:rPr>
              <w:t>元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500-1000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4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1000-200</w:t>
            </w:r>
            <w:r w:rsidRPr="008D06E2">
              <w:rPr>
                <w:rFonts w:hint="eastAsia"/>
                <w:sz w:val="15"/>
                <w:szCs w:val="15"/>
              </w:rPr>
              <w:t>占比</w:t>
            </w:r>
          </w:p>
        </w:tc>
        <w:tc>
          <w:tcPr>
            <w:tcW w:w="1404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2000</w:t>
            </w:r>
            <w:r>
              <w:rPr>
                <w:rFonts w:hint="eastAsia"/>
                <w:sz w:val="15"/>
                <w:szCs w:val="15"/>
              </w:rPr>
              <w:t>元</w:t>
            </w:r>
            <w:r w:rsidRPr="008D06E2">
              <w:rPr>
                <w:rFonts w:hint="eastAsia"/>
                <w:sz w:val="15"/>
                <w:szCs w:val="15"/>
              </w:rPr>
              <w:t>以上占比</w:t>
            </w:r>
          </w:p>
        </w:tc>
      </w:tr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北京</w:t>
            </w:r>
          </w:p>
        </w:tc>
        <w:tc>
          <w:tcPr>
            <w:tcW w:w="1403" w:type="dxa"/>
          </w:tcPr>
          <w:p w:rsidR="00FD6EBF" w:rsidRPr="008D06E2" w:rsidRDefault="002C2F59" w:rsidP="00582B0C">
            <w:pPr>
              <w:jc w:val="center"/>
              <w:rPr>
                <w:sz w:val="15"/>
                <w:szCs w:val="15"/>
              </w:rPr>
            </w:pPr>
            <w:r w:rsidRPr="002C2F59">
              <w:rPr>
                <w:sz w:val="15"/>
                <w:szCs w:val="15"/>
              </w:rPr>
              <w:t>25.84%</w:t>
            </w:r>
          </w:p>
        </w:tc>
        <w:tc>
          <w:tcPr>
            <w:tcW w:w="1403" w:type="dxa"/>
          </w:tcPr>
          <w:p w:rsidR="00FD6EBF" w:rsidRPr="008D06E2" w:rsidRDefault="001D7E93" w:rsidP="00582B0C">
            <w:pPr>
              <w:jc w:val="center"/>
              <w:rPr>
                <w:sz w:val="15"/>
                <w:szCs w:val="15"/>
              </w:rPr>
            </w:pPr>
            <w:r w:rsidRPr="001D7E93">
              <w:rPr>
                <w:sz w:val="15"/>
                <w:szCs w:val="15"/>
              </w:rPr>
              <w:t>39.33%</w:t>
            </w:r>
          </w:p>
        </w:tc>
        <w:tc>
          <w:tcPr>
            <w:tcW w:w="1403" w:type="dxa"/>
          </w:tcPr>
          <w:p w:rsidR="00FD6EBF" w:rsidRPr="008D06E2" w:rsidRDefault="00E32705" w:rsidP="00582B0C">
            <w:pPr>
              <w:jc w:val="center"/>
              <w:rPr>
                <w:sz w:val="15"/>
                <w:szCs w:val="15"/>
              </w:rPr>
            </w:pPr>
            <w:r w:rsidRPr="00E32705">
              <w:rPr>
                <w:sz w:val="15"/>
                <w:szCs w:val="15"/>
              </w:rPr>
              <w:t>24.72%</w:t>
            </w:r>
          </w:p>
        </w:tc>
        <w:tc>
          <w:tcPr>
            <w:tcW w:w="1404" w:type="dxa"/>
          </w:tcPr>
          <w:p w:rsidR="00FD6EBF" w:rsidRPr="008D06E2" w:rsidRDefault="00B42F0E" w:rsidP="00582B0C">
            <w:pPr>
              <w:jc w:val="center"/>
              <w:rPr>
                <w:sz w:val="15"/>
                <w:szCs w:val="15"/>
              </w:rPr>
            </w:pPr>
            <w:r w:rsidRPr="00B42F0E">
              <w:rPr>
                <w:sz w:val="15"/>
                <w:szCs w:val="15"/>
              </w:rPr>
              <w:t>6.74%</w:t>
            </w:r>
          </w:p>
        </w:tc>
        <w:tc>
          <w:tcPr>
            <w:tcW w:w="1404" w:type="dxa"/>
          </w:tcPr>
          <w:p w:rsidR="00FD6EBF" w:rsidRPr="008D06E2" w:rsidRDefault="00BA291D" w:rsidP="00582B0C">
            <w:pPr>
              <w:jc w:val="center"/>
              <w:rPr>
                <w:sz w:val="15"/>
                <w:szCs w:val="15"/>
              </w:rPr>
            </w:pPr>
            <w:r w:rsidRPr="00BA291D">
              <w:rPr>
                <w:sz w:val="15"/>
                <w:szCs w:val="15"/>
              </w:rPr>
              <w:t>3.37%</w:t>
            </w:r>
          </w:p>
        </w:tc>
      </w:tr>
      <w:tr w:rsidR="00FD6EBF" w:rsidTr="00FD6EBF">
        <w:trPr>
          <w:trHeight w:val="313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天津</w:t>
            </w:r>
          </w:p>
        </w:tc>
        <w:tc>
          <w:tcPr>
            <w:tcW w:w="1403" w:type="dxa"/>
          </w:tcPr>
          <w:p w:rsidR="00FD6EBF" w:rsidRPr="008D06E2" w:rsidRDefault="00FD20F8" w:rsidP="00582B0C">
            <w:pPr>
              <w:jc w:val="center"/>
              <w:rPr>
                <w:sz w:val="15"/>
                <w:szCs w:val="15"/>
              </w:rPr>
            </w:pPr>
            <w:r w:rsidRPr="00FD20F8">
              <w:rPr>
                <w:sz w:val="15"/>
                <w:szCs w:val="15"/>
              </w:rPr>
              <w:t>22.62%</w:t>
            </w:r>
          </w:p>
        </w:tc>
        <w:tc>
          <w:tcPr>
            <w:tcW w:w="1403" w:type="dxa"/>
          </w:tcPr>
          <w:p w:rsidR="00FD6EBF" w:rsidRPr="008D06E2" w:rsidRDefault="00836548" w:rsidP="00582B0C">
            <w:pPr>
              <w:jc w:val="center"/>
              <w:rPr>
                <w:sz w:val="15"/>
                <w:szCs w:val="15"/>
              </w:rPr>
            </w:pPr>
            <w:r w:rsidRPr="00836548">
              <w:rPr>
                <w:sz w:val="15"/>
                <w:szCs w:val="15"/>
              </w:rPr>
              <w:t>47.62%</w:t>
            </w:r>
          </w:p>
        </w:tc>
        <w:tc>
          <w:tcPr>
            <w:tcW w:w="1403" w:type="dxa"/>
          </w:tcPr>
          <w:p w:rsidR="00FD6EBF" w:rsidRPr="008D06E2" w:rsidRDefault="005E36C5" w:rsidP="00582B0C">
            <w:pPr>
              <w:jc w:val="center"/>
              <w:rPr>
                <w:sz w:val="15"/>
                <w:szCs w:val="15"/>
              </w:rPr>
            </w:pPr>
            <w:r w:rsidRPr="005E36C5">
              <w:rPr>
                <w:sz w:val="15"/>
                <w:szCs w:val="15"/>
              </w:rPr>
              <w:t>23.81%</w:t>
            </w:r>
          </w:p>
        </w:tc>
        <w:tc>
          <w:tcPr>
            <w:tcW w:w="1404" w:type="dxa"/>
          </w:tcPr>
          <w:p w:rsidR="00FD6EBF" w:rsidRPr="008D06E2" w:rsidRDefault="00160759" w:rsidP="00582B0C">
            <w:pPr>
              <w:jc w:val="center"/>
              <w:rPr>
                <w:sz w:val="15"/>
                <w:szCs w:val="15"/>
              </w:rPr>
            </w:pPr>
            <w:r w:rsidRPr="00160759">
              <w:rPr>
                <w:sz w:val="15"/>
                <w:szCs w:val="15"/>
              </w:rPr>
              <w:t>5.36%</w:t>
            </w:r>
          </w:p>
        </w:tc>
        <w:tc>
          <w:tcPr>
            <w:tcW w:w="1404" w:type="dxa"/>
          </w:tcPr>
          <w:p w:rsidR="00FD6EBF" w:rsidRPr="008D06E2" w:rsidRDefault="00461F01" w:rsidP="00582B0C">
            <w:pPr>
              <w:jc w:val="center"/>
              <w:rPr>
                <w:sz w:val="15"/>
                <w:szCs w:val="15"/>
              </w:rPr>
            </w:pPr>
            <w:r w:rsidRPr="00461F01">
              <w:rPr>
                <w:sz w:val="15"/>
                <w:szCs w:val="15"/>
              </w:rPr>
              <w:t>0.6%</w:t>
            </w:r>
          </w:p>
        </w:tc>
      </w:tr>
      <w:tr w:rsidR="00FD6EBF" w:rsidTr="00FD6EBF">
        <w:trPr>
          <w:trHeight w:val="325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石家庄</w:t>
            </w:r>
          </w:p>
        </w:tc>
        <w:tc>
          <w:tcPr>
            <w:tcW w:w="1403" w:type="dxa"/>
          </w:tcPr>
          <w:p w:rsidR="00FD6EBF" w:rsidRPr="008D06E2" w:rsidRDefault="00FB42D1" w:rsidP="00582B0C">
            <w:pPr>
              <w:jc w:val="center"/>
              <w:rPr>
                <w:sz w:val="15"/>
                <w:szCs w:val="15"/>
              </w:rPr>
            </w:pPr>
            <w:r w:rsidRPr="00FB42D1">
              <w:rPr>
                <w:sz w:val="15"/>
                <w:szCs w:val="15"/>
              </w:rPr>
              <w:t>35.5%</w:t>
            </w:r>
          </w:p>
        </w:tc>
        <w:tc>
          <w:tcPr>
            <w:tcW w:w="1403" w:type="dxa"/>
          </w:tcPr>
          <w:p w:rsidR="00FD6EBF" w:rsidRPr="008D06E2" w:rsidRDefault="00072EF6" w:rsidP="00582B0C">
            <w:pPr>
              <w:jc w:val="center"/>
              <w:rPr>
                <w:sz w:val="15"/>
                <w:szCs w:val="15"/>
              </w:rPr>
            </w:pPr>
            <w:r w:rsidRPr="00072EF6">
              <w:rPr>
                <w:sz w:val="15"/>
                <w:szCs w:val="15"/>
              </w:rPr>
              <w:t>42.5%</w:t>
            </w:r>
          </w:p>
        </w:tc>
        <w:tc>
          <w:tcPr>
            <w:tcW w:w="1403" w:type="dxa"/>
          </w:tcPr>
          <w:p w:rsidR="00FD6EBF" w:rsidRPr="008D06E2" w:rsidRDefault="00CE525B" w:rsidP="00582B0C">
            <w:pPr>
              <w:jc w:val="center"/>
              <w:rPr>
                <w:sz w:val="15"/>
                <w:szCs w:val="15"/>
              </w:rPr>
            </w:pPr>
            <w:r w:rsidRPr="00CE525B">
              <w:rPr>
                <w:sz w:val="15"/>
                <w:szCs w:val="15"/>
              </w:rPr>
              <w:t>11.5%</w:t>
            </w:r>
          </w:p>
        </w:tc>
        <w:tc>
          <w:tcPr>
            <w:tcW w:w="1404" w:type="dxa"/>
          </w:tcPr>
          <w:p w:rsidR="00FD6EBF" w:rsidRPr="008D06E2" w:rsidRDefault="002A18F7" w:rsidP="00582B0C">
            <w:pPr>
              <w:jc w:val="center"/>
              <w:rPr>
                <w:sz w:val="15"/>
                <w:szCs w:val="15"/>
              </w:rPr>
            </w:pPr>
            <w:r w:rsidRPr="002A18F7">
              <w:rPr>
                <w:sz w:val="15"/>
                <w:szCs w:val="15"/>
              </w:rPr>
              <w:t>9.0%</w:t>
            </w:r>
          </w:p>
        </w:tc>
        <w:tc>
          <w:tcPr>
            <w:tcW w:w="1404" w:type="dxa"/>
          </w:tcPr>
          <w:p w:rsidR="00FD6EBF" w:rsidRPr="008D06E2" w:rsidRDefault="004E6CE5" w:rsidP="00582B0C">
            <w:pPr>
              <w:jc w:val="center"/>
              <w:rPr>
                <w:sz w:val="15"/>
                <w:szCs w:val="15"/>
              </w:rPr>
            </w:pPr>
            <w:r w:rsidRPr="004E6CE5">
              <w:rPr>
                <w:sz w:val="15"/>
                <w:szCs w:val="15"/>
              </w:rPr>
              <w:t>1.5%</w:t>
            </w:r>
          </w:p>
        </w:tc>
      </w:tr>
      <w:tr w:rsidR="00FD6EBF" w:rsidTr="00FD6EBF">
        <w:trPr>
          <w:trHeight w:val="339"/>
        </w:trPr>
        <w:tc>
          <w:tcPr>
            <w:tcW w:w="1403" w:type="dxa"/>
          </w:tcPr>
          <w:p w:rsidR="00FD6EBF" w:rsidRPr="008D06E2" w:rsidRDefault="00FD6EBF" w:rsidP="00582B0C">
            <w:pPr>
              <w:jc w:val="center"/>
              <w:rPr>
                <w:sz w:val="15"/>
                <w:szCs w:val="15"/>
              </w:rPr>
            </w:pPr>
            <w:r w:rsidRPr="008D06E2">
              <w:rPr>
                <w:rFonts w:hint="eastAsia"/>
                <w:sz w:val="15"/>
                <w:szCs w:val="15"/>
              </w:rPr>
              <w:t>保定</w:t>
            </w:r>
          </w:p>
        </w:tc>
        <w:tc>
          <w:tcPr>
            <w:tcW w:w="1403" w:type="dxa"/>
          </w:tcPr>
          <w:p w:rsidR="00FD6EBF" w:rsidRPr="008D06E2" w:rsidRDefault="004C1ECE" w:rsidP="00582B0C">
            <w:pPr>
              <w:jc w:val="center"/>
              <w:rPr>
                <w:sz w:val="15"/>
                <w:szCs w:val="15"/>
              </w:rPr>
            </w:pPr>
            <w:r w:rsidRPr="004C1ECE">
              <w:rPr>
                <w:sz w:val="15"/>
                <w:szCs w:val="15"/>
              </w:rPr>
              <w:t>34.46%</w:t>
            </w:r>
          </w:p>
        </w:tc>
        <w:tc>
          <w:tcPr>
            <w:tcW w:w="1403" w:type="dxa"/>
          </w:tcPr>
          <w:p w:rsidR="00FD6EBF" w:rsidRPr="008D06E2" w:rsidRDefault="00197AD4" w:rsidP="00582B0C">
            <w:pPr>
              <w:jc w:val="center"/>
              <w:rPr>
                <w:sz w:val="15"/>
                <w:szCs w:val="15"/>
              </w:rPr>
            </w:pPr>
            <w:r w:rsidRPr="00197AD4">
              <w:rPr>
                <w:sz w:val="15"/>
                <w:szCs w:val="15"/>
              </w:rPr>
              <w:t>45.2%</w:t>
            </w:r>
          </w:p>
        </w:tc>
        <w:tc>
          <w:tcPr>
            <w:tcW w:w="1403" w:type="dxa"/>
          </w:tcPr>
          <w:p w:rsidR="00FD6EBF" w:rsidRPr="008D06E2" w:rsidRDefault="00BB3535" w:rsidP="00582B0C">
            <w:pPr>
              <w:jc w:val="center"/>
              <w:rPr>
                <w:sz w:val="15"/>
                <w:szCs w:val="15"/>
              </w:rPr>
            </w:pPr>
            <w:r w:rsidRPr="00BB3535">
              <w:rPr>
                <w:sz w:val="15"/>
                <w:szCs w:val="15"/>
              </w:rPr>
              <w:t>15.82%</w:t>
            </w:r>
          </w:p>
        </w:tc>
        <w:tc>
          <w:tcPr>
            <w:tcW w:w="1404" w:type="dxa"/>
          </w:tcPr>
          <w:p w:rsidR="00FD6EBF" w:rsidRPr="008D06E2" w:rsidRDefault="002F5CF4" w:rsidP="00582B0C">
            <w:pPr>
              <w:jc w:val="center"/>
              <w:rPr>
                <w:sz w:val="15"/>
                <w:szCs w:val="15"/>
              </w:rPr>
            </w:pPr>
            <w:r w:rsidRPr="002F5CF4">
              <w:rPr>
                <w:sz w:val="15"/>
                <w:szCs w:val="15"/>
              </w:rPr>
              <w:t>3.95%</w:t>
            </w:r>
          </w:p>
        </w:tc>
        <w:tc>
          <w:tcPr>
            <w:tcW w:w="1404" w:type="dxa"/>
          </w:tcPr>
          <w:p w:rsidR="00FD6EBF" w:rsidRPr="008D06E2" w:rsidRDefault="009F0F93" w:rsidP="00582B0C">
            <w:pPr>
              <w:jc w:val="center"/>
              <w:rPr>
                <w:sz w:val="15"/>
                <w:szCs w:val="15"/>
              </w:rPr>
            </w:pPr>
            <w:r w:rsidRPr="009F0F93">
              <w:rPr>
                <w:sz w:val="15"/>
                <w:szCs w:val="15"/>
              </w:rPr>
              <w:t>0.56%</w:t>
            </w:r>
          </w:p>
        </w:tc>
      </w:tr>
    </w:tbl>
    <w:p w:rsidR="00DF2339" w:rsidRPr="00AB4146" w:rsidRDefault="00DF2339" w:rsidP="00DF2339">
      <w:pPr>
        <w:rPr>
          <w:rFonts w:asciiTheme="minorEastAsia" w:hAnsiTheme="minorEastAsia"/>
        </w:rPr>
      </w:pPr>
      <w:r w:rsidRPr="00AB4146">
        <w:rPr>
          <w:rFonts w:asciiTheme="minorEastAsia" w:hAnsiTheme="minorEastAsia" w:hint="eastAsia"/>
        </w:rPr>
        <w:t>2.3 京津冀各地区居民每月文化消费</w:t>
      </w:r>
      <w:r w:rsidR="001D791D" w:rsidRPr="00AB4146">
        <w:rPr>
          <w:rFonts w:asciiTheme="minorEastAsia" w:hAnsiTheme="minorEastAsia" w:hint="eastAsia"/>
        </w:rPr>
        <w:t>指数</w:t>
      </w:r>
      <w:r w:rsidRPr="00AB4146">
        <w:rPr>
          <w:rFonts w:asciiTheme="minorEastAsia" w:hAnsiTheme="minorEastAsia" w:hint="eastAsia"/>
        </w:rPr>
        <w:t>调研结果</w:t>
      </w:r>
    </w:p>
    <w:p w:rsidR="003313F5" w:rsidRDefault="003313F5" w:rsidP="00D07376"/>
    <w:p w:rsidR="001D791D" w:rsidRDefault="001D791D" w:rsidP="00D07376"/>
    <w:p w:rsidR="001D791D" w:rsidRPr="00AB4146" w:rsidRDefault="0030759B" w:rsidP="00D07376">
      <w:pPr>
        <w:rPr>
          <w:rFonts w:asciiTheme="minorEastAsia" w:hAnsiTheme="minorEastAsia"/>
        </w:rPr>
      </w:pPr>
      <w:r w:rsidRPr="00AB4146">
        <w:rPr>
          <w:rFonts w:asciiTheme="minorEastAsia" w:hAnsiTheme="minorEastAsia"/>
        </w:rPr>
        <w:t>3</w:t>
      </w:r>
      <w:r w:rsidRPr="00AB4146">
        <w:rPr>
          <w:rFonts w:asciiTheme="minorEastAsia" w:hAnsiTheme="minorEastAsia" w:hint="eastAsia"/>
        </w:rPr>
        <w:t xml:space="preserve"> 影响个人文化消费因素的研究</w:t>
      </w:r>
    </w:p>
    <w:p w:rsidR="00150D25" w:rsidRDefault="00150D25" w:rsidP="00D07376"/>
    <w:p w:rsidR="00A20B88" w:rsidRPr="00AB4146" w:rsidRDefault="00150D25" w:rsidP="00A20B88">
      <w:pPr>
        <w:rPr>
          <w:rFonts w:asciiTheme="minorEastAsia" w:hAnsiTheme="minorEastAsia"/>
        </w:rPr>
      </w:pPr>
      <w:r w:rsidRPr="00AB4146">
        <w:rPr>
          <w:rFonts w:asciiTheme="minorEastAsia" w:hAnsiTheme="minorEastAsia" w:hint="eastAsia"/>
        </w:rPr>
        <w:t>3.1 理论基础及方案设计</w:t>
      </w:r>
    </w:p>
    <w:p w:rsidR="00A20B88" w:rsidRPr="00AB4146" w:rsidRDefault="00A20B88" w:rsidP="003A6154">
      <w:pPr>
        <w:rPr>
          <w:rFonts w:asciiTheme="minorEastAsia" w:hAnsiTheme="minorEastAsia"/>
          <w:sz w:val="18"/>
          <w:szCs w:val="18"/>
        </w:rPr>
      </w:pPr>
      <w:r>
        <w:rPr>
          <w:rFonts w:hint="eastAsia"/>
        </w:rPr>
        <w:t xml:space="preserve">    </w:t>
      </w:r>
      <w:r w:rsidRPr="00AB4146">
        <w:rPr>
          <w:rFonts w:asciiTheme="minorEastAsia" w:hAnsiTheme="minorEastAsia" w:hint="eastAsia"/>
          <w:sz w:val="18"/>
          <w:szCs w:val="18"/>
        </w:rPr>
        <w:t>关于个人文化消费的概念及内容的研究，国内的学者己经成功地嫁接了国外此方面的研究视域，并结合中国的社会现状，较为清晰地解析出个人文化消费的本质及其研究的范畴。但个人文化消费概念及内容的研究，仅是个人文化消费研究的表层部分;而关于个人文化消费动因及其演化路径的研究，才是个人文化消费研究的核心部分。在目前的研究中，国内学者虽然提出了个人文化消费与社会个体的价值观，审美观</w:t>
      </w:r>
      <w:r w:rsidRPr="00AB4146">
        <w:rPr>
          <w:rFonts w:asciiTheme="minorEastAsia" w:hAnsiTheme="minorEastAsia" w:hint="eastAsia"/>
          <w:sz w:val="18"/>
          <w:szCs w:val="18"/>
        </w:rPr>
        <w:lastRenderedPageBreak/>
        <w:t>及兴趣爱好有关</w:t>
      </w:r>
      <w:r w:rsidR="006A5572" w:rsidRPr="00AB4146">
        <w:rPr>
          <w:rFonts w:asciiTheme="minorEastAsia" w:hAnsiTheme="minorEastAsia" w:hint="eastAsia"/>
          <w:sz w:val="18"/>
          <w:szCs w:val="18"/>
        </w:rPr>
        <w:t>系</w:t>
      </w:r>
      <w:r w:rsidRPr="00AB4146">
        <w:rPr>
          <w:rFonts w:asciiTheme="minorEastAsia" w:hAnsiTheme="minorEastAsia" w:hint="eastAsia"/>
          <w:sz w:val="18"/>
          <w:szCs w:val="18"/>
        </w:rPr>
        <w:t>，但却未能深入探讨文化消费与以上相关因素间的影响关系大小，并缺乏定量分析方法的应用，以至于缺乏显著性的成果。</w:t>
      </w:r>
    </w:p>
    <w:p w:rsidR="00A20B88" w:rsidRPr="00AB4146" w:rsidRDefault="00A20B88" w:rsidP="00A20B88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 xml:space="preserve">    这是因为，“消费文化”的研究范式，是将消费现象同社会阶层结构、社会关系等社会事实并列考察，以最大程度地拓展“消费”的边界维度;也即消费并不仅是经济学意义上的</w:t>
      </w:r>
    </w:p>
    <w:p w:rsidR="00A20B88" w:rsidRPr="00AB4146" w:rsidRDefault="00A20B88" w:rsidP="00A20B88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追求个人效用最大化的过程，也是进行属性构建、趣味区分、文化分类和社会关系再生产的过程。同时，随着社会结构变迁、价值观改变、艺术审美变化等事实因素的引入，使得定量分析法在文化消费研究中的应用就成为可能。另外，需要注意的是，中国政治及文化的不同，使得文化消费研究中“社会阶层结构”在国内研究的嫁接，更多表现于性别、年龄、职业、收入等人口统计变量上的划分，并不存在明显的政治性地位划分。</w:t>
      </w:r>
    </w:p>
    <w:p w:rsidR="00A20B88" w:rsidRPr="00AB4146" w:rsidRDefault="00A20B88" w:rsidP="00A20B88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 xml:space="preserve">    在上述理论研究的基础上，关于本研究方案的理论设计，在充分考虑到本研究的目的与数据分析的可操作性后，将主要包括两部分的内容:(1)</w:t>
      </w:r>
      <w:r w:rsidR="00207568" w:rsidRPr="00AB4146">
        <w:rPr>
          <w:rFonts w:asciiTheme="minorEastAsia" w:hAnsiTheme="minorEastAsia" w:hint="eastAsia"/>
          <w:sz w:val="18"/>
          <w:szCs w:val="18"/>
        </w:rPr>
        <w:t xml:space="preserve"> 京津冀各地区居民每月文化消费状况</w:t>
      </w:r>
      <w:r w:rsidRPr="00AB4146">
        <w:rPr>
          <w:rFonts w:asciiTheme="minorEastAsia" w:hAnsiTheme="minorEastAsia" w:hint="eastAsia"/>
          <w:sz w:val="18"/>
          <w:szCs w:val="18"/>
        </w:rPr>
        <w:t>;(2)</w:t>
      </w:r>
      <w:r w:rsidR="007559C2" w:rsidRPr="00AB4146">
        <w:rPr>
          <w:rFonts w:asciiTheme="minorEastAsia" w:hAnsiTheme="minorEastAsia" w:hint="eastAsia"/>
          <w:sz w:val="18"/>
          <w:szCs w:val="18"/>
        </w:rPr>
        <w:t xml:space="preserve"> 影响个人文化消费因素</w:t>
      </w:r>
      <w:r w:rsidR="00FE0D7D" w:rsidRPr="00AB4146">
        <w:rPr>
          <w:rFonts w:asciiTheme="minorEastAsia" w:hAnsiTheme="minorEastAsia" w:hint="eastAsia"/>
          <w:sz w:val="18"/>
          <w:szCs w:val="18"/>
        </w:rPr>
        <w:t>。前者主要包括文化消费活动次数</w:t>
      </w:r>
      <w:r w:rsidRPr="00AB4146">
        <w:rPr>
          <w:rFonts w:asciiTheme="minorEastAsia" w:hAnsiTheme="minorEastAsia" w:hint="eastAsia"/>
          <w:sz w:val="18"/>
          <w:szCs w:val="18"/>
        </w:rPr>
        <w:t>与文化活动的消费</w:t>
      </w:r>
      <w:r w:rsidR="00FE0D7D" w:rsidRPr="00AB4146">
        <w:rPr>
          <w:rFonts w:asciiTheme="minorEastAsia" w:hAnsiTheme="minorEastAsia" w:hint="eastAsia"/>
          <w:sz w:val="18"/>
          <w:szCs w:val="18"/>
        </w:rPr>
        <w:t>的资金数额</w:t>
      </w:r>
      <w:r w:rsidRPr="00AB4146">
        <w:rPr>
          <w:rFonts w:asciiTheme="minorEastAsia" w:hAnsiTheme="minorEastAsia" w:hint="eastAsia"/>
          <w:sz w:val="18"/>
          <w:szCs w:val="18"/>
        </w:rPr>
        <w:t>，后者主要包括</w:t>
      </w:r>
      <w:r w:rsidR="003F5C02" w:rsidRPr="00AB4146">
        <w:rPr>
          <w:rFonts w:asciiTheme="minorEastAsia" w:hAnsiTheme="minorEastAsia" w:hint="eastAsia"/>
          <w:sz w:val="18"/>
          <w:szCs w:val="18"/>
        </w:rPr>
        <w:t>文化程度、年龄、经济收入、选择</w:t>
      </w:r>
      <w:r w:rsidR="004B06D9" w:rsidRPr="00AB4146">
        <w:rPr>
          <w:rFonts w:asciiTheme="minorEastAsia" w:hAnsiTheme="minorEastAsia" w:hint="eastAsia"/>
          <w:sz w:val="18"/>
          <w:szCs w:val="18"/>
        </w:rPr>
        <w:t>主因</w:t>
      </w:r>
      <w:r w:rsidR="003F5C02" w:rsidRPr="00AB4146">
        <w:rPr>
          <w:rFonts w:asciiTheme="minorEastAsia" w:hAnsiTheme="minorEastAsia" w:hint="eastAsia"/>
          <w:sz w:val="18"/>
          <w:szCs w:val="18"/>
        </w:rPr>
        <w:t>、获知途径</w:t>
      </w:r>
      <w:r w:rsidRPr="00AB4146">
        <w:rPr>
          <w:rFonts w:asciiTheme="minorEastAsia" w:hAnsiTheme="minorEastAsia" w:hint="eastAsia"/>
          <w:sz w:val="18"/>
          <w:szCs w:val="18"/>
        </w:rPr>
        <w:t>。</w:t>
      </w:r>
    </w:p>
    <w:p w:rsidR="00F71072" w:rsidRPr="00AB4146" w:rsidRDefault="00A20B88" w:rsidP="00F71072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 xml:space="preserve">    在具体变量的统计上，首先是关于</w:t>
      </w:r>
      <w:r w:rsidR="002E5462" w:rsidRPr="00AB4146">
        <w:rPr>
          <w:rFonts w:asciiTheme="minorEastAsia" w:hAnsiTheme="minorEastAsia" w:hint="eastAsia"/>
          <w:sz w:val="18"/>
          <w:szCs w:val="18"/>
        </w:rPr>
        <w:t>每月文化消费状况</w:t>
      </w:r>
      <w:r w:rsidRPr="00AB4146">
        <w:rPr>
          <w:rFonts w:asciiTheme="minorEastAsia" w:hAnsiTheme="minorEastAsia" w:hint="eastAsia"/>
          <w:sz w:val="18"/>
          <w:szCs w:val="18"/>
        </w:rPr>
        <w:t>变量</w:t>
      </w:r>
      <w:r w:rsidR="004942A5" w:rsidRPr="00AB4146">
        <w:rPr>
          <w:rFonts w:asciiTheme="minorEastAsia" w:hAnsiTheme="minorEastAsia" w:hint="eastAsia"/>
          <w:sz w:val="18"/>
          <w:szCs w:val="18"/>
        </w:rPr>
        <w:t>选择文化消费活动次数与文化活动的消费的资金数额</w:t>
      </w:r>
      <w:r w:rsidR="00F71072" w:rsidRPr="00AB4146">
        <w:rPr>
          <w:rFonts w:asciiTheme="minorEastAsia" w:hAnsiTheme="minorEastAsia" w:hint="eastAsia"/>
          <w:sz w:val="18"/>
          <w:szCs w:val="18"/>
        </w:rPr>
        <w:t>。最后，本研究还选择4个人口统计变量作为控制变量。其中，设</w:t>
      </w:r>
    </w:p>
    <w:p w:rsidR="00F71072" w:rsidRPr="00AB4146" w:rsidRDefault="00175820" w:rsidP="00F71072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置的具体选项如小：</w:t>
      </w:r>
    </w:p>
    <w:p w:rsidR="00F71072" w:rsidRPr="00AB4146" w:rsidRDefault="00F71072" w:rsidP="00F71072">
      <w:pPr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 xml:space="preserve">    </w:t>
      </w:r>
      <w:r w:rsidR="00175820" w:rsidRPr="00AB4146">
        <w:rPr>
          <w:rFonts w:asciiTheme="minorEastAsia" w:hAnsiTheme="minorEastAsia" w:hint="eastAsia"/>
          <w:sz w:val="18"/>
          <w:szCs w:val="18"/>
        </w:rPr>
        <w:t>文化程度：</w:t>
      </w:r>
      <w:r w:rsidR="00B767AD" w:rsidRPr="00AB4146">
        <w:rPr>
          <w:rFonts w:asciiTheme="minorEastAsia" w:hAnsiTheme="minorEastAsia" w:hint="eastAsia"/>
          <w:sz w:val="18"/>
          <w:szCs w:val="18"/>
        </w:rPr>
        <w:t>初中及以下、高中及中专、本科及大专、硕士研究生、博士研究生及以上</w:t>
      </w:r>
      <w:r w:rsidR="00175820" w:rsidRPr="00AB4146">
        <w:rPr>
          <w:rFonts w:asciiTheme="minorEastAsia" w:hAnsiTheme="minorEastAsia" w:hint="eastAsia"/>
          <w:sz w:val="18"/>
          <w:szCs w:val="18"/>
        </w:rPr>
        <w:t>；</w:t>
      </w:r>
    </w:p>
    <w:p w:rsidR="00AB4146" w:rsidRDefault="00175820" w:rsidP="00AB4146">
      <w:pPr>
        <w:ind w:firstLine="345"/>
        <w:rPr>
          <w:rFonts w:asciiTheme="minorEastAsia" w:hAnsiTheme="minorEastAsia" w:hint="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年龄：</w:t>
      </w:r>
      <w:r w:rsidR="00BC54D0" w:rsidRPr="00AB4146">
        <w:rPr>
          <w:rFonts w:asciiTheme="minorEastAsia" w:hAnsiTheme="minorEastAsia" w:hint="eastAsia"/>
          <w:sz w:val="18"/>
          <w:szCs w:val="18"/>
        </w:rPr>
        <w:t>18岁以下、18-30岁、30-40岁、40-50岁、50-60岁</w:t>
      </w:r>
      <w:r w:rsidRPr="00AB4146">
        <w:rPr>
          <w:rFonts w:asciiTheme="minorEastAsia" w:hAnsiTheme="minorEastAsia" w:hint="eastAsia"/>
          <w:sz w:val="18"/>
          <w:szCs w:val="18"/>
        </w:rPr>
        <w:t>；</w:t>
      </w:r>
    </w:p>
    <w:p w:rsidR="00AB4146" w:rsidRDefault="00BC54D0" w:rsidP="00AB4146">
      <w:pPr>
        <w:ind w:firstLine="345"/>
        <w:rPr>
          <w:rFonts w:asciiTheme="minorEastAsia" w:hAnsiTheme="minorEastAsia" w:hint="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经济</w:t>
      </w:r>
      <w:r w:rsidR="00175820" w:rsidRPr="00AB4146">
        <w:rPr>
          <w:rFonts w:asciiTheme="minorEastAsia" w:hAnsiTheme="minorEastAsia" w:hint="eastAsia"/>
          <w:sz w:val="18"/>
          <w:szCs w:val="18"/>
        </w:rPr>
        <w:t>收入：</w:t>
      </w:r>
      <w:r w:rsidRPr="00AB4146">
        <w:rPr>
          <w:rFonts w:asciiTheme="minorEastAsia" w:hAnsiTheme="minorEastAsia" w:hint="eastAsia"/>
          <w:sz w:val="18"/>
          <w:szCs w:val="18"/>
        </w:rPr>
        <w:t>无收入、3000元以下、3000-5000元、5000-8000元、8000-15000元、15000以上</w:t>
      </w:r>
      <w:r w:rsidR="00175820" w:rsidRPr="00AB4146">
        <w:rPr>
          <w:rFonts w:asciiTheme="minorEastAsia" w:hAnsiTheme="minorEastAsia" w:hint="eastAsia"/>
          <w:sz w:val="18"/>
          <w:szCs w:val="18"/>
        </w:rPr>
        <w:t>；</w:t>
      </w:r>
    </w:p>
    <w:p w:rsidR="00AB4146" w:rsidRDefault="00BC54D0" w:rsidP="00AB4146">
      <w:pPr>
        <w:ind w:firstLine="345"/>
        <w:rPr>
          <w:rFonts w:asciiTheme="minorEastAsia" w:hAnsiTheme="minorEastAsia" w:hint="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选择</w:t>
      </w:r>
      <w:r w:rsidR="00175820" w:rsidRPr="00AB4146">
        <w:rPr>
          <w:rFonts w:asciiTheme="minorEastAsia" w:hAnsiTheme="minorEastAsia" w:hint="eastAsia"/>
          <w:sz w:val="18"/>
          <w:szCs w:val="18"/>
        </w:rPr>
        <w:t>主因：个人兴趣、媒体宣传、优惠折扣、亲朋好友的评价、进行消费的便利程度、惯性消费；</w:t>
      </w:r>
    </w:p>
    <w:p w:rsidR="00175820" w:rsidRPr="00AB4146" w:rsidRDefault="00CA7DBE" w:rsidP="00AB4146">
      <w:pPr>
        <w:ind w:firstLine="345"/>
        <w:rPr>
          <w:rFonts w:asciiTheme="minorEastAsia" w:hAnsiTheme="minorEastAsia"/>
          <w:sz w:val="18"/>
          <w:szCs w:val="18"/>
        </w:rPr>
      </w:pPr>
      <w:r w:rsidRPr="00AB4146">
        <w:rPr>
          <w:rFonts w:asciiTheme="minorEastAsia" w:hAnsiTheme="minorEastAsia" w:hint="eastAsia"/>
          <w:sz w:val="18"/>
          <w:szCs w:val="18"/>
        </w:rPr>
        <w:t>获知途径：电视、网络、报刊、文化消费场所阵地广告、亲朋好友、户外广告、移动媒体（地铁、公交广告）、手机、广播、其他；</w:t>
      </w:r>
      <w:bookmarkStart w:id="0" w:name="_GoBack"/>
      <w:bookmarkEnd w:id="0"/>
    </w:p>
    <w:p w:rsidR="00175820" w:rsidRPr="00BC54D0" w:rsidRDefault="00175820" w:rsidP="00BC54D0">
      <w:pPr>
        <w:ind w:firstLine="420"/>
      </w:pPr>
    </w:p>
    <w:sectPr w:rsidR="00175820" w:rsidRPr="00BC54D0" w:rsidSect="00A24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2C07"/>
    <w:rsid w:val="00071E94"/>
    <w:rsid w:val="00072EF6"/>
    <w:rsid w:val="000B073D"/>
    <w:rsid w:val="000B283A"/>
    <w:rsid w:val="00150D25"/>
    <w:rsid w:val="00160759"/>
    <w:rsid w:val="00175820"/>
    <w:rsid w:val="0019182F"/>
    <w:rsid w:val="00197AD4"/>
    <w:rsid w:val="001D791D"/>
    <w:rsid w:val="001D7E93"/>
    <w:rsid w:val="00207568"/>
    <w:rsid w:val="00232108"/>
    <w:rsid w:val="00246B21"/>
    <w:rsid w:val="002A18F7"/>
    <w:rsid w:val="002C2F59"/>
    <w:rsid w:val="002E5462"/>
    <w:rsid w:val="002F5CF4"/>
    <w:rsid w:val="0030759B"/>
    <w:rsid w:val="003313F5"/>
    <w:rsid w:val="003933D2"/>
    <w:rsid w:val="003A6154"/>
    <w:rsid w:val="003B2C15"/>
    <w:rsid w:val="003C3350"/>
    <w:rsid w:val="003F5C02"/>
    <w:rsid w:val="00461F01"/>
    <w:rsid w:val="004942A5"/>
    <w:rsid w:val="004B06D9"/>
    <w:rsid w:val="004C1ECE"/>
    <w:rsid w:val="004E6CE5"/>
    <w:rsid w:val="004F4371"/>
    <w:rsid w:val="00551263"/>
    <w:rsid w:val="005C2C07"/>
    <w:rsid w:val="005E36C5"/>
    <w:rsid w:val="005F2865"/>
    <w:rsid w:val="005F7B9B"/>
    <w:rsid w:val="00602972"/>
    <w:rsid w:val="006A5572"/>
    <w:rsid w:val="006C4D30"/>
    <w:rsid w:val="006D0184"/>
    <w:rsid w:val="006F74A3"/>
    <w:rsid w:val="00721779"/>
    <w:rsid w:val="007559C2"/>
    <w:rsid w:val="00836548"/>
    <w:rsid w:val="008610B5"/>
    <w:rsid w:val="008718D4"/>
    <w:rsid w:val="008976B6"/>
    <w:rsid w:val="008C2CA3"/>
    <w:rsid w:val="008D06E2"/>
    <w:rsid w:val="008D5DF5"/>
    <w:rsid w:val="0090140E"/>
    <w:rsid w:val="0092629C"/>
    <w:rsid w:val="00971CED"/>
    <w:rsid w:val="009F0F93"/>
    <w:rsid w:val="00A20B88"/>
    <w:rsid w:val="00A24203"/>
    <w:rsid w:val="00A9317C"/>
    <w:rsid w:val="00AB4146"/>
    <w:rsid w:val="00B42F0E"/>
    <w:rsid w:val="00B56EF9"/>
    <w:rsid w:val="00B767AD"/>
    <w:rsid w:val="00B878E9"/>
    <w:rsid w:val="00B9677F"/>
    <w:rsid w:val="00BA291D"/>
    <w:rsid w:val="00BB3535"/>
    <w:rsid w:val="00BC54D0"/>
    <w:rsid w:val="00C92A90"/>
    <w:rsid w:val="00CA7DBE"/>
    <w:rsid w:val="00CE3067"/>
    <w:rsid w:val="00CE525B"/>
    <w:rsid w:val="00D07376"/>
    <w:rsid w:val="00D0778D"/>
    <w:rsid w:val="00D216BD"/>
    <w:rsid w:val="00D30268"/>
    <w:rsid w:val="00D50D5B"/>
    <w:rsid w:val="00D56EB7"/>
    <w:rsid w:val="00DA6708"/>
    <w:rsid w:val="00DF2339"/>
    <w:rsid w:val="00E23C90"/>
    <w:rsid w:val="00E32705"/>
    <w:rsid w:val="00E55AA9"/>
    <w:rsid w:val="00E635B1"/>
    <w:rsid w:val="00EB0ECF"/>
    <w:rsid w:val="00F16BBA"/>
    <w:rsid w:val="00F3099D"/>
    <w:rsid w:val="00F32F41"/>
    <w:rsid w:val="00F71072"/>
    <w:rsid w:val="00F90FE5"/>
    <w:rsid w:val="00FA02E6"/>
    <w:rsid w:val="00FB42D1"/>
    <w:rsid w:val="00FD12E5"/>
    <w:rsid w:val="00FD1955"/>
    <w:rsid w:val="00FD20F8"/>
    <w:rsid w:val="00FD6EBF"/>
    <w:rsid w:val="00FE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2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13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楚进科</dc:creator>
  <cp:keywords/>
  <dc:description/>
  <cp:lastModifiedBy>xbany</cp:lastModifiedBy>
  <cp:revision>90</cp:revision>
  <dcterms:created xsi:type="dcterms:W3CDTF">2018-10-15T08:47:00Z</dcterms:created>
  <dcterms:modified xsi:type="dcterms:W3CDTF">2018-10-15T23:28:00Z</dcterms:modified>
</cp:coreProperties>
</file>