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В данной части стандарта ISO 10303 описаны единые правила для описания материалов изделия и его инженерных свойств (механических, термических, электрических и т. п.) так, чтобы разные CAD/CAE/PLM‑системы могли обмениваться этими данными без потерь смысла.</w:t>
      </w:r>
    </w:p>
    <w:p>
      <w:pPr>
        <w:pStyle w:val="BodyText"/>
      </w:pPr>
      <w:r>
        <w:t xml:space="preserve">Стандарт определяет структуру данных и терминологию для материалов и свойств, не навязывая конкретных значений и марок сам по себе. Он описывает, какие сущности и связи нужны, чтобы передать свойства с единицами, условиями, методами испытаний, таблицами и кривыми зависимостей.</w:t>
      </w:r>
    </w:p>
    <w:p>
      <w:pPr>
        <w:pStyle w:val="BodyText"/>
      </w:pPr>
      <w:r>
        <w:t xml:space="preserve">Модель может быть использована для описания свойств:</w:t>
      </w:r>
      <w:r>
        <w:t xml:space="preserve"> </w:t>
      </w:r>
      <w:r>
        <w:t xml:space="preserve">- заготовки, такого как литой слиток;</w:t>
      </w:r>
      <w:r>
        <w:t xml:space="preserve"> </w:t>
      </w:r>
      <w:r>
        <w:t xml:space="preserve">- полуфабриката, такого как труба или лист;</w:t>
      </w:r>
      <w:r>
        <w:t xml:space="preserve"> </w:t>
      </w:r>
      <w:r>
        <w:t xml:space="preserve">- деталь (например, деталь, выпрессованная из листа).</w:t>
      </w:r>
    </w:p>
    <w:p>
      <w:pPr>
        <w:pStyle w:val="BodyText"/>
      </w:pPr>
      <w:r>
        <w:t xml:space="preserve">Модель позволяет описать:</w:t>
      </w:r>
    </w:p>
    <w:p>
      <w:pPr>
        <w:numPr>
          <w:ilvl w:val="0"/>
          <w:numId w:val="1001"/>
        </w:numPr>
      </w:pPr>
      <w:r>
        <w:t xml:space="preserve">материал: название/марка по стандарту или поставщику, состав/класс, ссылка на спецификацию или сертификат.</w:t>
      </w:r>
    </w:p>
    <w:p>
      <w:pPr>
        <w:numPr>
          <w:ilvl w:val="0"/>
          <w:numId w:val="1001"/>
        </w:numPr>
      </w:pPr>
      <w:r>
        <w:t xml:space="preserve">свойство: тип свойства (например, предел прочности, плотность, теплопроводность, диэлектрическая прочность), числовые значения с единицами, диапазоны, статистика, допуски.</w:t>
      </w:r>
    </w:p>
    <w:p>
      <w:pPr>
        <w:numPr>
          <w:ilvl w:val="0"/>
          <w:numId w:val="1001"/>
        </w:numPr>
      </w:pPr>
      <w:r>
        <w:t xml:space="preserve">условия и методика: температура, влажность, скорость деформации и т. п., а также ссылка на метод испытаний/стандарт, по которому получено значение.</w:t>
      </w:r>
    </w:p>
    <w:p>
      <w:pPr>
        <w:numPr>
          <w:ilvl w:val="0"/>
          <w:numId w:val="1001"/>
        </w:numPr>
      </w:pPr>
      <w:r>
        <w:t xml:space="preserve">представления для выражения свойств (см. ГОСТ Р 77.304): отдельное число, набор точек (таблица), функция/кривая (например, зависимость от температуры), с указанием интервала применимости.</w:t>
      </w:r>
    </w:p>
    <w:p>
      <w:pPr>
        <w:numPr>
          <w:ilvl w:val="0"/>
          <w:numId w:val="1001"/>
        </w:numPr>
      </w:pPr>
      <w:r>
        <w:t xml:space="preserve">разные виды привязки матриалов/свойств: к всему изделию, к конкретной детали, к области поверхности/слою покрытия, к варианту исполнения или партии.</w:t>
      </w:r>
    </w:p>
    <w:p>
      <w:pPr>
        <w:numPr>
          <w:ilvl w:val="0"/>
          <w:numId w:val="1001"/>
        </w:numPr>
      </w:pPr>
      <w:r>
        <w:t xml:space="preserve">происхождение и версия: источник данных, дата, организация, версия записи, отношения между свойствами (зависимости, выводные величины).</w:t>
      </w:r>
    </w:p>
    <w:p>
      <w:pPr>
        <w:pStyle w:val="FirstParagraph"/>
      </w:pPr>
      <w:r>
        <w:t xml:space="preserve">В сферу применения данной части стандарта ISO 10303 входит следующее:</w:t>
      </w:r>
      <w:r>
        <w:t xml:space="preserve"> </w:t>
      </w:r>
      <w:r>
        <w:t xml:space="preserve">- связь свойств с изделием;</w:t>
      </w:r>
      <w:r>
        <w:t xml:space="preserve"> </w:t>
      </w:r>
      <w:r>
        <w:t xml:space="preserve">- описание состава изделия с точки зрения количества и типа его компонентов;</w:t>
      </w:r>
      <w:r>
        <w:t xml:space="preserve"> </w:t>
      </w:r>
      <w:r>
        <w:t xml:space="preserve">- описание набора качественных и количественных условий, при которых свойство является действительным;</w:t>
      </w:r>
      <w:r>
        <w:t xml:space="preserve"> </w:t>
      </w:r>
      <w:r>
        <w:t xml:space="preserve">- описание представления свойства, включая свойства, которые либо измеряются, либо присваиваются;</w:t>
      </w:r>
      <w:r>
        <w:t xml:space="preserve"> </w:t>
      </w:r>
      <w:r>
        <w:t xml:space="preserve">- указание представления значения состава с помощью математического выражения;</w:t>
      </w:r>
      <w:r>
        <w:t xml:space="preserve"> </w:t>
      </w:r>
      <w:r>
        <w:t xml:space="preserve">- указание значения свойства с помощью математического выражения;</w:t>
      </w:r>
      <w:r>
        <w:t xml:space="preserve"> </w:t>
      </w:r>
      <w:r>
        <w:t xml:space="preserve">- характеристика значения состава с точки зрения его неопределенности и надежности;</w:t>
      </w:r>
      <w:r>
        <w:t xml:space="preserve"> </w:t>
      </w:r>
      <w:r>
        <w:t xml:space="preserve">- характеристика значения свойства с точки зрения его неопределенности и надежности;</w:t>
      </w:r>
      <w:r>
        <w:t xml:space="preserve"> </w:t>
      </w:r>
      <w:r>
        <w:t xml:space="preserve">- свойства поверхности изделия, включая покрытия.</w:t>
      </w:r>
    </w:p>
    <w:p>
      <w:pPr>
        <w:pStyle w:val="BodyText"/>
      </w:pPr>
      <w:r>
        <w:t xml:space="preserve">Связь с другими частями STEP:</w:t>
      </w:r>
    </w:p>
    <w:p>
      <w:pPr>
        <w:numPr>
          <w:ilvl w:val="0"/>
          <w:numId w:val="1002"/>
        </w:numPr>
      </w:pPr>
      <w:r>
        <w:t xml:space="preserve">Использует общие механизмы единиц измерения, величин и представлений из базовых частей STEP, чтобы свойства были количественно корректны и машиночитаемы.</w:t>
      </w:r>
    </w:p>
    <w:p>
      <w:pPr>
        <w:numPr>
          <w:ilvl w:val="0"/>
          <w:numId w:val="1002"/>
        </w:numPr>
      </w:pPr>
      <w:r>
        <w:t xml:space="preserve">Применяется в прикладных протоколах (например, для 3D‑моделей и МBD), которые подхватывают описания материалов и свойств из части 45 при обмене между системами.</w:t>
      </w:r>
    </w:p>
    <w:p>
      <w:pPr>
        <w:pStyle w:val="FirstParagraph"/>
      </w:pPr>
      <w:r>
        <w:t xml:space="preserve">Для целей настоящего документа применяются следующие термины и определения: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материал</w:t>
      </w:r>
      <w:r>
        <w:t xml:space="preserve"> </w:t>
      </w:r>
      <w:r>
        <w:t xml:space="preserve">- вещество или субстанции, из которых состоит или изготавливается изделие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обозначение материала</w:t>
      </w:r>
      <w:r>
        <w:t xml:space="preserve"> </w:t>
      </w:r>
      <w:r>
        <w:t xml:space="preserve">- идентификатор материала, который может быть присвоен по соглашению сторон.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свойство материала</w:t>
      </w:r>
      <w:r>
        <w:t xml:space="preserve"> </w:t>
      </w:r>
      <w:r>
        <w:t xml:space="preserve">- характеристика изделия, которая зависит от материала или групп материалов, входящих в состав изделия, и от процесса измерения характеристики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определитель</w:t>
      </w:r>
      <w:r>
        <w:t xml:space="preserve"> </w:t>
      </w:r>
      <w:r>
        <w:t xml:space="preserve">- элемент дополнительной информации, связанный со значением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достоверность</w:t>
      </w:r>
      <w:r>
        <w:t xml:space="preserve"> </w:t>
      </w:r>
      <w:r>
        <w:t xml:space="preserve">- характеристика, связанная либо с количественным, либо с качественным значением, которое описывает степень уверенности, от которой может зависеть значение</w:t>
      </w:r>
    </w:p>
    <w:p>
      <w:pPr>
        <w:pStyle w:val="FirstParagraph"/>
      </w:pPr>
      <w:r>
        <w:t xml:space="preserve">Зачем это нужно:</w:t>
      </w:r>
    </w:p>
    <w:p>
      <w:pPr>
        <w:numPr>
          <w:ilvl w:val="0"/>
          <w:numId w:val="1004"/>
        </w:numPr>
      </w:pPr>
      <w:r>
        <w:t xml:space="preserve">Перенос данных из CAD/PLM в CAE без ручного дублирования: свойства материала и кривые попадают в расчётную модель корректно и однозначно.</w:t>
      </w:r>
    </w:p>
    <w:p>
      <w:pPr>
        <w:numPr>
          <w:ilvl w:val="0"/>
          <w:numId w:val="1004"/>
        </w:numPr>
      </w:pPr>
      <w:r>
        <w:t xml:space="preserve">Согласованность в цепочке поставок: спецификации материалов и требуемые характеристики читаются одинаково у разработчика, подрядчика и производителя.</w:t>
      </w:r>
    </w:p>
    <w:p>
      <w:pPr>
        <w:numPr>
          <w:ilvl w:val="0"/>
          <w:numId w:val="1004"/>
        </w:numPr>
      </w:pPr>
      <w:r>
        <w:t xml:space="preserve">Трассируемость и соответствие: можно привязать измеренные свойства партии к конкретным изделиям и методам испытаний, облегчая аудит и сертификацию.</w:t>
      </w:r>
    </w:p>
    <w:p>
      <w:pPr>
        <w:numPr>
          <w:ilvl w:val="0"/>
          <w:numId w:val="1004"/>
        </w:numPr>
      </w:pPr>
      <w:r>
        <w:t xml:space="preserve">Цифровой паспорт/двойник: свойства с условиями и источниками становятся частью устойчивого цифрового описания изделия на всём жизненном цикле.</w:t>
      </w:r>
    </w:p>
    <w:p>
      <w:pPr>
        <w:pStyle w:val="FirstParagraph"/>
      </w:pPr>
      <w:r>
        <w:t xml:space="preserve">Как это выглядит в обмене данными:</w:t>
      </w:r>
    </w:p>
    <w:p>
      <w:pPr>
        <w:numPr>
          <w:ilvl w:val="0"/>
          <w:numId w:val="1005"/>
        </w:numPr>
      </w:pPr>
      <w:r>
        <w:t xml:space="preserve">Свойство описывается именем/типом, значением с единицей изменения и ссылкой на условия, при которых значение справедливо (достоверно?).</w:t>
      </w:r>
    </w:p>
    <w:p>
      <w:pPr>
        <w:numPr>
          <w:ilvl w:val="0"/>
          <w:numId w:val="1005"/>
        </w:numPr>
      </w:pPr>
      <w:r>
        <w:t xml:space="preserve">Для зависимостей формируются таблицы или кривые (например, теплопроводность как функция температуры) с указанием диапазона валидности.</w:t>
      </w:r>
    </w:p>
    <w:p>
      <w:pPr>
        <w:numPr>
          <w:ilvl w:val="0"/>
          <w:numId w:val="1005"/>
        </w:numPr>
      </w:pPr>
      <w:r>
        <w:t xml:space="preserve">Свойства связываются с объектами модели (деталь, поверхность, слой), а также между собой (например, модуль Юнга и коэффициент Пуассона как набор упругих свойств).</w:t>
      </w:r>
    </w:p>
    <w:p>
      <w:pPr>
        <w:pStyle w:val="FirstParagraph"/>
      </w:pPr>
      <w:r>
        <w:t xml:space="preserve">Простые примеры:</w:t>
      </w:r>
    </w:p>
    <w:p>
      <w:pPr>
        <w:numPr>
          <w:ilvl w:val="0"/>
          <w:numId w:val="1006"/>
        </w:numPr>
      </w:pPr>
      <w:r>
        <w:t xml:space="preserve">Болт из стали 40Х: материал — «40Х по ГОСТ …», свойства — предел прочности 800 МПа при 20 °C по методу ISO …, твёрдость 28–32 HRC, плотность 7,85 г/см³; всё с единицами, методами и ссылкой на сертификат партии.</w:t>
      </w:r>
    </w:p>
    <w:p>
      <w:pPr>
        <w:numPr>
          <w:ilvl w:val="0"/>
          <w:numId w:val="1006"/>
        </w:numPr>
      </w:pPr>
      <w:r>
        <w:t xml:space="preserve">Пластик для корпуса: диаграмма напряжение‑деформация в виде таблицы точек при 23 °C и скорости деформации 0,01 с⁻¹; модуль Юнга и ударная вязкость с указанием стандартов испытаний.</w:t>
      </w:r>
    </w:p>
    <w:p>
      <w:pPr>
        <w:numPr>
          <w:ilvl w:val="0"/>
          <w:numId w:val="1006"/>
        </w:numPr>
      </w:pPr>
      <w:r>
        <w:t xml:space="preserve">Теплообменник: теплопроводность материала как кривая λ(T) от −40 до 200 °C, плюс табличные значения теплоёмкости и коэффициента линейного расширения.</w:t>
      </w:r>
    </w:p>
    <w:p>
      <w:pPr>
        <w:numPr>
          <w:ilvl w:val="0"/>
          <w:numId w:val="1006"/>
        </w:numPr>
      </w:pPr>
      <w:r>
        <w:t xml:space="preserve">Печатная плата: электрическая прочность диэлектрика и тангенс δ на частотах 1, 10 и 100 кГц; привязка свойств к конкретному слою стеклотекстолита.</w:t>
      </w:r>
    </w:p>
    <w:p>
      <w:pPr>
        <w:numPr>
          <w:ilvl w:val="0"/>
          <w:numId w:val="1006"/>
        </w:numPr>
      </w:pPr>
      <w:r>
        <w:t xml:space="preserve">Покрытие: никелевое покрытие толщиной 12–15 мкм на заданных поверхностях детали, с указанием метода контроля толщины.</w:t>
      </w:r>
    </w:p>
    <w:p>
      <w:pPr>
        <w:numPr>
          <w:ilvl w:val="0"/>
          <w:numId w:val="1006"/>
        </w:numPr>
      </w:pPr>
      <w:r>
        <w:t xml:space="preserve">Сертификат партии: для отгруженных валов прикреплены измеренные значения твёрдости и зернистости по указанным методикам, связанные с номерами изделий.</w:t>
      </w:r>
    </w:p>
    <w:p>
      <w:pPr>
        <w:pStyle w:val="FirstParagraph"/>
      </w:pPr>
      <w:r>
        <w:t xml:space="preserve">Что не описано в ISO 10303-45:</w:t>
      </w:r>
    </w:p>
    <w:p>
      <w:pPr>
        <w:numPr>
          <w:ilvl w:val="0"/>
          <w:numId w:val="1007"/>
        </w:numPr>
      </w:pPr>
      <w:r>
        <w:t xml:space="preserve">это не база данных материалов: стандарт не перечисляет марки сталей/полимеров и их значения, он задаёт формат и связи для их описания и обмена.</w:t>
      </w:r>
    </w:p>
    <w:p>
      <w:pPr>
        <w:numPr>
          <w:ilvl w:val="0"/>
          <w:numId w:val="1007"/>
        </w:numPr>
      </w:pPr>
      <w:r>
        <w:t xml:space="preserve">это не регламент испытаний: он ссылается на внешние методики, но сам не устанавливает, как проводить испытания.</w:t>
      </w:r>
    </w:p>
    <w:p>
      <w:pPr>
        <w:numPr>
          <w:ilvl w:val="0"/>
          <w:numId w:val="1007"/>
        </w:numPr>
      </w:pPr>
      <w:r>
        <w:t xml:space="preserve">это не про геометрию и допуски: геометрию/ТОЛ иное описывают другие части STEP (например, 42/47), а часть 45 — именно про материалы и свойства.</w:t>
      </w:r>
    </w:p>
    <w:p>
      <w:pPr>
        <w:pStyle w:val="FirstParagraph"/>
      </w:pPr>
      <w:r>
        <w:t xml:space="preserve">Приведенное ниже описание выходит за рамки данной части стандарта ISO 10303:</w:t>
      </w:r>
    </w:p>
    <w:p>
      <w:pPr>
        <w:numPr>
          <w:ilvl w:val="0"/>
          <w:numId w:val="1008"/>
        </w:numPr>
      </w:pPr>
      <w:r>
        <w:t xml:space="preserve">процессы, используемые для измерения или присвоения свойств;</w:t>
      </w:r>
    </w:p>
    <w:p>
      <w:pPr>
        <w:numPr>
          <w:ilvl w:val="0"/>
          <w:numId w:val="1008"/>
        </w:numPr>
      </w:pPr>
      <w:r>
        <w:t xml:space="preserve">комбинация и преобразование значений свойств;</w:t>
      </w:r>
    </w:p>
    <w:p>
      <w:pPr>
        <w:pStyle w:val="FirstParagraph"/>
      </w:pPr>
      <w:r>
        <w:t xml:space="preserve">ПРИМЕР 1. Конструкция определяется путем статистического анализа большого количества результатов испытаний, значения которых были объединены. В этой части стандарта ISO 10303 предусмотрено представление результатов испытаний и их результирующей комбинации, но не рассматриваются процессы комбинирования или преобразования.</w:t>
      </w:r>
    </w:p>
    <w:p>
      <w:pPr>
        <w:pStyle w:val="Compact"/>
        <w:numPr>
          <w:ilvl w:val="0"/>
          <w:numId w:val="1009"/>
        </w:numPr>
      </w:pPr>
      <w:r>
        <w:t xml:space="preserve">использование свойств при анализе поведения продукта;</w:t>
      </w:r>
    </w:p>
    <w:p>
      <w:pPr>
        <w:pStyle w:val="FirstParagraph"/>
      </w:pPr>
      <w:r>
        <w:t xml:space="preserve">ПРИМЕР 2 Значения отдельных свойств могут быть объединены в матрицы коэффициентов для использования в аналитических моделях.</w:t>
      </w:r>
    </w:p>
    <w:p>
      <w:pPr>
        <w:pStyle w:val="Compact"/>
        <w:numPr>
          <w:ilvl w:val="0"/>
          <w:numId w:val="1010"/>
        </w:numPr>
      </w:pPr>
      <w:r>
        <w:t xml:space="preserve">названия и определения свойств и методов тестирования.</w:t>
      </w:r>
    </w:p>
    <w:p>
      <w:pPr>
        <w:pStyle w:val="FirstParagraph"/>
      </w:pPr>
      <w:r>
        <w:t xml:space="preserve">ПРИМЕЧАНИЕ 2 Предполагается, что названия и определения методов тестирования, а также названия и определения свойств, которые они определяют, указаны в словарях, соответствующих стандарту ISO 13584 Parts library.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2025-10-04T18:32:30Z</dcterms:created>
  <dcterms:modified xsi:type="dcterms:W3CDTF">2025-10-04T18:32:30Z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