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A3AA1" w14:textId="77777777" w:rsidR="00897B51" w:rsidRPr="00353F2F" w:rsidRDefault="00897B51" w:rsidP="00353F2F">
      <w:pPr>
        <w:spacing w:line="480" w:lineRule="auto"/>
        <w:jc w:val="center"/>
        <w:rPr>
          <w:rFonts w:ascii="Times New Roman" w:hAnsi="Times New Roman" w:cs="Times New Roman"/>
          <w:b/>
          <w:bCs/>
          <w:sz w:val="24"/>
          <w:szCs w:val="24"/>
        </w:rPr>
      </w:pPr>
      <w:r w:rsidRPr="00353F2F">
        <w:rPr>
          <w:rFonts w:ascii="Times New Roman" w:hAnsi="Times New Roman" w:cs="Times New Roman"/>
          <w:b/>
          <w:bCs/>
          <w:sz w:val="24"/>
          <w:szCs w:val="24"/>
        </w:rPr>
        <w:t xml:space="preserve">CHAPTER ONE </w:t>
      </w:r>
    </w:p>
    <w:p w14:paraId="0F682D4D" w14:textId="77777777" w:rsidR="00897B51" w:rsidRPr="00353F2F" w:rsidRDefault="00897B51" w:rsidP="00353F2F">
      <w:pPr>
        <w:spacing w:line="480" w:lineRule="auto"/>
        <w:jc w:val="center"/>
        <w:rPr>
          <w:rFonts w:ascii="Times New Roman" w:hAnsi="Times New Roman" w:cs="Times New Roman"/>
          <w:b/>
          <w:bCs/>
          <w:sz w:val="24"/>
          <w:szCs w:val="24"/>
        </w:rPr>
      </w:pPr>
      <w:r w:rsidRPr="00353F2F">
        <w:rPr>
          <w:rFonts w:ascii="Times New Roman" w:hAnsi="Times New Roman" w:cs="Times New Roman"/>
          <w:b/>
          <w:bCs/>
          <w:sz w:val="24"/>
          <w:szCs w:val="24"/>
        </w:rPr>
        <w:t>INTRODUCTION</w:t>
      </w:r>
    </w:p>
    <w:p w14:paraId="2A9E8B5C"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Background to the Study</w:t>
      </w:r>
    </w:p>
    <w:p w14:paraId="1F551E97" w14:textId="77777777" w:rsidR="00897B51" w:rsidRPr="00353F2F" w:rsidRDefault="00897B51" w:rsidP="00353F2F">
      <w:pPr>
        <w:pStyle w:val="NormalWeb"/>
        <w:spacing w:before="0" w:beforeAutospacing="0" w:line="480" w:lineRule="auto"/>
        <w:jc w:val="both"/>
      </w:pPr>
      <w:r w:rsidRPr="00353F2F">
        <w:t>Nigeria's infrastructure deficit gap is estimated at tens of billions of dollars every year, and this has pushed governments, investors, and development institutions to look beyond conventional public spending toward project finance and Public-Private Partnerships (PPPs) as a more sustainable way to deliver roads, power plants, housing, and social services. Under these arrangements, projects are typically ring-fenced within independent legal entities (known as Special Purpose Vehicles (SPVs)) whose debt is repaid not from a sponsor's balance sheet but from the cash flows the project itself generates.</w:t>
      </w:r>
      <w:r w:rsidRPr="00353F2F">
        <w:rPr>
          <w:rStyle w:val="FootnoteReference"/>
        </w:rPr>
        <w:footnoteReference w:id="1"/>
      </w:r>
      <w:r w:rsidRPr="00353F2F">
        <w:t xml:space="preserve"> In this context, deficiencies in corporate governance at either the SPV or sponsor level, manifesting in weak board oversight, inadequate disclosure practices, or conflicts of interest, become highly consequential. Such governance lapses can quickly escalate into construction delays, cost overruns, breaches of financial covenants, and ultimately project default, thereby weakening bankability and increasing the overall cost of capital.</w:t>
      </w:r>
    </w:p>
    <w:p w14:paraId="1F835C5A" w14:textId="77777777" w:rsidR="00897B51" w:rsidRPr="00353F2F" w:rsidRDefault="00897B51" w:rsidP="00353F2F">
      <w:pPr>
        <w:pStyle w:val="NormalWeb"/>
        <w:spacing w:before="0" w:beforeAutospacing="0" w:line="480" w:lineRule="auto"/>
        <w:jc w:val="both"/>
      </w:pPr>
      <w:r w:rsidRPr="00353F2F">
        <w:t xml:space="preserve">Nigeria’s track record with PPPs and project finance arrangements reflects a combination of progress and persistent challenges. Although certain projects, particularly in the transport and housing sectors, have successfully achieved financial close, empirical studies consistently underscore governance quality, risk allocation frameworks, and institutional capacity as decisive factors in determining project outcomes. For instance, research on PPP housing and radio diagnostic initiatives in Nigeria demonstrates that ineffective risk-sharing arrangements and weak </w:t>
      </w:r>
      <w:r w:rsidRPr="00353F2F">
        <w:lastRenderedPageBreak/>
        <w:t>contract governance structures often result in project delays, diminished value for money, and, in some cases, outright project abandonment. More broadly, scholarly analyses identify sound governance practices, sustained political support, and coherent economic policy frameworks as critical success factors for PPP implementation in Nigeria.</w:t>
      </w:r>
      <w:r w:rsidRPr="00353F2F">
        <w:rPr>
          <w:rStyle w:val="FootnoteReference"/>
        </w:rPr>
        <w:footnoteReference w:id="2"/>
      </w:r>
    </w:p>
    <w:p w14:paraId="0D7AA5D7"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eastAsia="Times New Roman" w:hAnsi="Times New Roman" w:cs="Times New Roman"/>
          <w:sz w:val="24"/>
          <w:szCs w:val="24"/>
        </w:rPr>
        <w:t>Corporate governance is the set of rules, relationships, and processes by which a company is directed and controlled. In Nigeria, that framework has matured considerably. The Nigerian Code of Corporate Governance 2018 (NCCG 2018), issued by the Financial Reporting Council (FRC), serves as the baseline standard for sector-specific codes with a unified, principles-based regime built around an "apply and explain" philosophy. It places board responsibility, risk management, transparency, sustainability, and stakeholder engagement at the heart of how every company, including an infrastructure SPV, should be run. Nigerian empirical research consistently links these governance mechanisms, board independence, functioning audit committees, robust disclosure, to better firm performance, a lower cost of debt, and stronger investor confidence. Governance, it is now widely accepted, is not red tape: it is a fundamental risk-management tool.</w:t>
      </w:r>
      <w:r w:rsidRPr="00353F2F">
        <w:rPr>
          <w:rStyle w:val="FootnoteReference"/>
          <w:rFonts w:ascii="Times New Roman" w:hAnsi="Times New Roman" w:cs="Times New Roman"/>
          <w:sz w:val="24"/>
          <w:szCs w:val="24"/>
        </w:rPr>
        <w:footnoteReference w:id="3"/>
      </w:r>
      <w:r w:rsidRPr="00353F2F">
        <w:rPr>
          <w:rFonts w:ascii="Times New Roman" w:hAnsi="Times New Roman" w:cs="Times New Roman"/>
          <w:sz w:val="24"/>
          <w:szCs w:val="24"/>
        </w:rPr>
        <w:t xml:space="preserve"> This shift reflects a global realization that corporate governance is not merely an administrative exercise but a fundamental risk-mitigation tool that addresses agency conflicts, enhances transparency, and ensures that management acts in the best interests of both equity holders and creditors.</w:t>
      </w:r>
    </w:p>
    <w:p w14:paraId="3538E4F9"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eastAsia="Times New Roman" w:hAnsi="Times New Roman" w:cs="Times New Roman"/>
          <w:sz w:val="24"/>
          <w:szCs w:val="24"/>
        </w:rPr>
        <w:lastRenderedPageBreak/>
        <w:t>In Nigeria today, renewed efforts by the Infrastructure Concession Regulatory Commission (ICRC) to standardize PPP financial modelling and risk allocation, most recently through the 2025 PPP Project Financial Model Guide, signal a growing realization that governance, risk, and financial structure cannot be treated in isolation.</w:t>
      </w:r>
      <w:r w:rsidRPr="00353F2F">
        <w:rPr>
          <w:rStyle w:val="FootnoteReference"/>
          <w:rFonts w:ascii="Times New Roman" w:eastAsia="Times New Roman" w:hAnsi="Times New Roman" w:cs="Times New Roman"/>
          <w:sz w:val="24"/>
          <w:szCs w:val="24"/>
        </w:rPr>
        <w:footnoteReference w:id="4"/>
      </w:r>
      <w:r w:rsidRPr="00353F2F">
        <w:rPr>
          <w:rFonts w:ascii="Times New Roman" w:eastAsia="Times New Roman" w:hAnsi="Times New Roman" w:cs="Times New Roman"/>
          <w:sz w:val="24"/>
          <w:szCs w:val="24"/>
        </w:rPr>
        <w:t xml:space="preserve"> </w:t>
      </w:r>
      <w:r w:rsidRPr="00353F2F">
        <w:rPr>
          <w:rFonts w:ascii="Times New Roman" w:hAnsi="Times New Roman" w:cs="Times New Roman"/>
          <w:sz w:val="24"/>
          <w:szCs w:val="24"/>
        </w:rPr>
        <w:t>Whilst the Companies and Allied Matters Act 2020 introduced modernizing reforms, such as the recognition of electronic signatures, validity of virtual meetings, and the creation of new business structures such as Limited Liability Partnerships</w:t>
      </w:r>
      <w:r w:rsidRPr="00353F2F">
        <w:rPr>
          <w:rStyle w:val="FootnoteReference"/>
          <w:rFonts w:ascii="Times New Roman" w:hAnsi="Times New Roman" w:cs="Times New Roman"/>
          <w:sz w:val="24"/>
          <w:szCs w:val="24"/>
        </w:rPr>
        <w:footnoteReference w:id="5"/>
      </w:r>
      <w:r w:rsidRPr="00353F2F">
        <w:rPr>
          <w:rFonts w:ascii="Times New Roman" w:hAnsi="Times New Roman" w:cs="Times New Roman"/>
          <w:sz w:val="24"/>
          <w:szCs w:val="24"/>
        </w:rPr>
        <w:t>, designed to improve the “Ease of Doing Business” in Nigeria and provide a more robust environment for foreign direct investment.</w:t>
      </w:r>
      <w:r w:rsidRPr="00353F2F">
        <w:rPr>
          <w:rStyle w:val="FootnoteReference"/>
          <w:rFonts w:ascii="Times New Roman" w:hAnsi="Times New Roman" w:cs="Times New Roman"/>
          <w:sz w:val="24"/>
          <w:szCs w:val="24"/>
        </w:rPr>
        <w:footnoteReference w:id="6"/>
      </w:r>
      <w:r w:rsidRPr="00353F2F">
        <w:rPr>
          <w:rFonts w:ascii="Times New Roman" w:hAnsi="Times New Roman" w:cs="Times New Roman"/>
          <w:sz w:val="24"/>
          <w:szCs w:val="24"/>
        </w:rPr>
        <w:t xml:space="preserve"> However, the efficacy of these laws is often tested by the practicalities of the Nigerian market, where high compliance costs, bureaucratic bottlenecks, and the notorious complexities of the outdated Land Use Act present significant hurdles to the perfection of security interests. Furthermore, the Nigerian banking sector has historically been characterized by governance failures, ranging from insider abuse to non-performing loans, leading to high-profile corporate collapse. These failures underscore the necessity of viewing corporate governance through a dual lens: as a regulatory compliance requirement and as a strategic tool for project bankability.</w:t>
      </w:r>
      <w:r w:rsidRPr="00353F2F">
        <w:rPr>
          <w:rStyle w:val="FootnoteReference"/>
          <w:rFonts w:ascii="Times New Roman" w:hAnsi="Times New Roman" w:cs="Times New Roman"/>
          <w:sz w:val="24"/>
          <w:szCs w:val="24"/>
        </w:rPr>
        <w:footnoteReference w:id="7"/>
      </w:r>
    </w:p>
    <w:p w14:paraId="62B50351"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For a project to be considered bankable in Nigeria, it must not only demonstrate financial viability</w:t>
      </w:r>
      <w:r w:rsidRPr="00353F2F">
        <w:rPr>
          <w:rStyle w:val="FootnoteReference"/>
          <w:rFonts w:ascii="Times New Roman" w:hAnsi="Times New Roman" w:cs="Times New Roman"/>
          <w:sz w:val="24"/>
          <w:szCs w:val="24"/>
        </w:rPr>
        <w:footnoteReference w:id="8"/>
      </w:r>
      <w:r w:rsidRPr="00353F2F">
        <w:rPr>
          <w:rFonts w:ascii="Times New Roman" w:hAnsi="Times New Roman" w:cs="Times New Roman"/>
          <w:sz w:val="24"/>
          <w:szCs w:val="24"/>
        </w:rPr>
        <w:t xml:space="preserve"> but also prove that its governance structures, comprising board oversight, independent audits, and </w:t>
      </w:r>
      <w:r w:rsidRPr="00353F2F">
        <w:rPr>
          <w:rFonts w:ascii="Times New Roman" w:hAnsi="Times New Roman" w:cs="Times New Roman"/>
          <w:sz w:val="24"/>
          <w:szCs w:val="24"/>
        </w:rPr>
        <w:lastRenderedPageBreak/>
        <w:t>robust risk management committees, are capable of navigating the country’s volatile macroeconomic and political environment.</w:t>
      </w:r>
    </w:p>
    <w:p w14:paraId="554D129E"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eastAsia="Times New Roman" w:hAnsi="Times New Roman" w:cs="Times New Roman"/>
          <w:sz w:val="24"/>
          <w:szCs w:val="24"/>
        </w:rPr>
        <w:t>This study investigates how corporate governance, as shaped by Nigeria's current legal and regulatory framework, functions as a mechanism for mitigating risk in project finance through PPP projects. It traces the interaction between Companies and Allied Matters Act 2020's statutory requirements, the ethical principles of Nigerian Code of Corporate Governance 2018, and the practical demands of bankability, asking whether these tools, as presently configured, are sufficient to attract the long-term capital Nigeria's infrastructure deficit urgently requires.</w:t>
      </w:r>
    </w:p>
    <w:p w14:paraId="08D00939"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 xml:space="preserve"> Statement of the Problem</w:t>
      </w:r>
    </w:p>
    <w:p w14:paraId="2FFE90AC"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Despite a growing body of Nigerian and comparative literature on corporate governance, there is a notable gap in scholarship specifically interrogating the role of governance mechanisms in mitigating risk and enhancing bankability in project finance and PPP structures. Empirical studies on the Nigerian project finance landscape are currently navigating a “rough season” characterized by structural weaknesses, high interest rates, and currency devaluation, yet it simultaneously presents significant opportunities for value creation through large-scale transactions in oil, gas, power and infrastructure</w:t>
      </w:r>
      <w:r w:rsidRPr="00353F2F">
        <w:rPr>
          <w:rStyle w:val="FootnoteReference"/>
          <w:rFonts w:ascii="Times New Roman" w:hAnsi="Times New Roman" w:cs="Times New Roman"/>
          <w:sz w:val="24"/>
          <w:szCs w:val="24"/>
        </w:rPr>
        <w:footnoteReference w:id="9"/>
      </w:r>
      <w:r w:rsidRPr="00353F2F">
        <w:rPr>
          <w:rFonts w:ascii="Times New Roman" w:hAnsi="Times New Roman" w:cs="Times New Roman"/>
          <w:sz w:val="24"/>
          <w:szCs w:val="24"/>
        </w:rPr>
        <w:t>. While its PPPs underscore persistent challenges such as inappropriate risk allocation, lengthy procurement timelines, weak institutional capacity and poor contract management, but tend to treat these as technical or institutional issues, rather than explicitly locating them within a corporate governance framework at SPV and sponsor level.</w:t>
      </w:r>
    </w:p>
    <w:p w14:paraId="5400DC77"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At project level, governance failures manifest in multiple, interrelated ways: boards that lack relevant sectoral expertise or independence, inadequate oversight of construction and operational risks, weak risk committees and deficient financial reporting – all of which heighten lenders’ perception of risk and translate into higher pricing, stricter covenants or outright refusal to lend</w:t>
      </w:r>
      <w:r w:rsidRPr="00353F2F">
        <w:rPr>
          <w:rStyle w:val="FootnoteReference"/>
          <w:rFonts w:ascii="Times New Roman" w:hAnsi="Times New Roman" w:cs="Times New Roman"/>
          <w:sz w:val="24"/>
          <w:szCs w:val="24"/>
        </w:rPr>
        <w:footnoteReference w:id="10"/>
      </w:r>
      <w:r w:rsidRPr="00353F2F">
        <w:rPr>
          <w:rFonts w:ascii="Times New Roman" w:hAnsi="Times New Roman" w:cs="Times New Roman"/>
          <w:sz w:val="24"/>
          <w:szCs w:val="24"/>
        </w:rPr>
        <w:t>. Nigerian evidence on banks and listed companies shows that governance quality, including board independence and risk-management structures, significantly affects financial performance and cost of capital, yet these insights have not systematically applied to SPVs and PPP entities that sit at the heart of project finance</w:t>
      </w:r>
      <w:r w:rsidRPr="00353F2F">
        <w:rPr>
          <w:rStyle w:val="FootnoteReference"/>
          <w:rFonts w:ascii="Times New Roman" w:hAnsi="Times New Roman" w:cs="Times New Roman"/>
          <w:sz w:val="24"/>
          <w:szCs w:val="24"/>
        </w:rPr>
        <w:footnoteReference w:id="11"/>
      </w:r>
      <w:r w:rsidRPr="00353F2F">
        <w:rPr>
          <w:rFonts w:ascii="Times New Roman" w:hAnsi="Times New Roman" w:cs="Times New Roman"/>
          <w:sz w:val="24"/>
          <w:szCs w:val="24"/>
        </w:rPr>
        <w:t>.</w:t>
      </w:r>
    </w:p>
    <w:p w14:paraId="4016B419" w14:textId="547786DB"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Moreover, while NCCG 2018 and sectoral guidelines (e.g. CBN, SEC, NCC) provide formal governance prescriptions, compliance and enforcement remain uneven, particularly in complex infrastructure projects where multiple public and private actors are involved. Case-based evidence from African PPP housing and infrastructure projects shows that weak legal frameworks, institutional fragmentation, and poor enforcement of governance obligations contribute to cost overruns, renegotiations, and failures, thereby eroding value for money and undermining public trust. Juxtaposing the same with </w:t>
      </w:r>
      <w:r w:rsidR="00265F10" w:rsidRPr="00353F2F">
        <w:rPr>
          <w:rFonts w:ascii="Times New Roman" w:hAnsi="Times New Roman" w:cs="Times New Roman"/>
          <w:sz w:val="24"/>
          <w:szCs w:val="24"/>
        </w:rPr>
        <w:t>international best practices would</w:t>
      </w:r>
      <w:r w:rsidRPr="00353F2F">
        <w:rPr>
          <w:rFonts w:ascii="Times New Roman" w:hAnsi="Times New Roman" w:cs="Times New Roman"/>
          <w:sz w:val="24"/>
          <w:szCs w:val="24"/>
        </w:rPr>
        <w:t xml:space="preserve"> similarly indicate that where governance and accountability mechanisms in PPPs are under-specified or poorly implemented, the allocation of risk becomes skewed, leading to fiscal stress and contract instability.</w:t>
      </w:r>
    </w:p>
    <w:p w14:paraId="4207E804" w14:textId="4C2BEC1B"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At the same time, lenders and investors increasingly demand “bankable” project structures that integrate governance safeguards: robust shareholder agreements, clear decision-making processes, transparent information rights, detailed covenant packages, and tested risk-allocation models. The ICRC 2025 PPP Guidelines pose as a financial model guidance </w:t>
      </w:r>
      <w:r w:rsidR="00265F10" w:rsidRPr="00353F2F">
        <w:rPr>
          <w:rFonts w:ascii="Times New Roman" w:hAnsi="Times New Roman" w:cs="Times New Roman"/>
          <w:sz w:val="24"/>
          <w:szCs w:val="24"/>
        </w:rPr>
        <w:t>that</w:t>
      </w:r>
      <w:r w:rsidRPr="00353F2F">
        <w:rPr>
          <w:rFonts w:ascii="Times New Roman" w:hAnsi="Times New Roman" w:cs="Times New Roman"/>
          <w:sz w:val="24"/>
          <w:szCs w:val="24"/>
        </w:rPr>
        <w:t xml:space="preserve"> not only recognizes the need </w:t>
      </w:r>
      <w:r w:rsidRPr="00353F2F">
        <w:rPr>
          <w:rFonts w:ascii="Times New Roman" w:hAnsi="Times New Roman" w:cs="Times New Roman"/>
          <w:sz w:val="24"/>
          <w:szCs w:val="24"/>
        </w:rPr>
        <w:lastRenderedPageBreak/>
        <w:t>to identify, quantify, and allocate construction, revenue, regulatory, and macroeconomic risks but also offers limited doctrinal engagement with how corporate governance mechanisms within SPVs and sponsors operationalize these risk-allocation decisions</w:t>
      </w:r>
      <w:r w:rsidRPr="00353F2F">
        <w:rPr>
          <w:rStyle w:val="FootnoteReference"/>
          <w:rFonts w:ascii="Times New Roman" w:hAnsi="Times New Roman" w:cs="Times New Roman"/>
          <w:sz w:val="24"/>
          <w:szCs w:val="24"/>
        </w:rPr>
        <w:footnoteReference w:id="12"/>
      </w:r>
      <w:r w:rsidRPr="00353F2F">
        <w:rPr>
          <w:rFonts w:ascii="Times New Roman" w:hAnsi="Times New Roman" w:cs="Times New Roman"/>
          <w:sz w:val="24"/>
          <w:szCs w:val="24"/>
        </w:rPr>
        <w:t>.</w:t>
      </w:r>
    </w:p>
    <w:p w14:paraId="445CBF7D" w14:textId="41E27045"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central problem of this study is therefore two-fold. Firstly, there are insufficient doctrinal and empirical analyses of how corporate governance mechanisms – board structures, oversight committees, disclosure regimes, and internal controls – function as deliberate risk-mitigation tools in Nigerian project finance transactions. Lastly, there is a lack of systematic evaluation of how compliance with governance standards affects project bankability, including lenders’ risk appetite, pricing, and willingness to commit long-term capital to Nigerian infrastructure, especially when benchmarked against international best practices.</w:t>
      </w:r>
    </w:p>
    <w:p w14:paraId="352AF6AD"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Research Question</w:t>
      </w:r>
    </w:p>
    <w:p w14:paraId="4C4623A3"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study will address the following research questions:</w:t>
      </w:r>
    </w:p>
    <w:p w14:paraId="39D2076C" w14:textId="5B91F1D0" w:rsidR="00897B51" w:rsidRPr="00353F2F" w:rsidRDefault="00897B51" w:rsidP="00353F2F">
      <w:pPr>
        <w:pStyle w:val="ListParagraph"/>
        <w:numPr>
          <w:ilvl w:val="0"/>
          <w:numId w:val="2"/>
        </w:num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What are the existing legal and regulatory </w:t>
      </w:r>
      <w:r w:rsidR="00265F10" w:rsidRPr="00353F2F">
        <w:rPr>
          <w:rFonts w:ascii="Times New Roman" w:hAnsi="Times New Roman" w:cs="Times New Roman"/>
          <w:sz w:val="24"/>
          <w:szCs w:val="24"/>
        </w:rPr>
        <w:t>frameworks</w:t>
      </w:r>
      <w:r w:rsidRPr="00353F2F">
        <w:rPr>
          <w:rFonts w:ascii="Times New Roman" w:hAnsi="Times New Roman" w:cs="Times New Roman"/>
          <w:sz w:val="24"/>
          <w:szCs w:val="24"/>
        </w:rPr>
        <w:t xml:space="preserve"> that regulate corporate governance in the context of project finance transactions through Public-Private Partnership Projects?</w:t>
      </w:r>
    </w:p>
    <w:p w14:paraId="49738097" w14:textId="77777777" w:rsidR="00897B51" w:rsidRPr="00353F2F" w:rsidRDefault="00897B51" w:rsidP="00353F2F">
      <w:pPr>
        <w:pStyle w:val="ListParagraph"/>
        <w:numPr>
          <w:ilvl w:val="0"/>
          <w:numId w:val="2"/>
        </w:num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To what extent does compliance with corporate governance standards influence the bankability of Nigerian project finance transactions from the perspective of sponsors, lenders, investors, and Development Finance Institutions (DFIs)?</w:t>
      </w:r>
    </w:p>
    <w:p w14:paraId="6F191032" w14:textId="77777777" w:rsidR="00897B51" w:rsidRPr="00353F2F" w:rsidRDefault="00897B51" w:rsidP="00353F2F">
      <w:pPr>
        <w:pStyle w:val="ListParagraph"/>
        <w:numPr>
          <w:ilvl w:val="0"/>
          <w:numId w:val="2"/>
        </w:num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What legal, institutional, and contractual reforms are necessary to position corporate governance more centrally as a risk-mitigation and bankability tool in Nigeria’s project finance landscape?</w:t>
      </w:r>
    </w:p>
    <w:p w14:paraId="2F8F4B39"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lastRenderedPageBreak/>
        <w:t>Aim and Objectives of the Study</w:t>
      </w:r>
    </w:p>
    <w:p w14:paraId="27458354"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overarching aim of this study is to evaluate corporate governance as a risk-mitigation tool in Nigerian project finance, with particular emphasis on how these governance structures, compliance practices, and bankability mechanisms interact to influence risk allocation and project outcomes.</w:t>
      </w:r>
    </w:p>
    <w:p w14:paraId="30CBFB25"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study seeks to achieve the specific objectives:</w:t>
      </w:r>
    </w:p>
    <w:p w14:paraId="1C6E74D0" w14:textId="77777777" w:rsidR="00897B51" w:rsidRPr="00353F2F" w:rsidRDefault="00897B51" w:rsidP="00353F2F">
      <w:pPr>
        <w:pStyle w:val="ListParagraph"/>
        <w:numPr>
          <w:ilvl w:val="0"/>
          <w:numId w:val="3"/>
        </w:num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To examine the legal and regulatory framework governing corporate governance in Nigeria, and analyze its application to Special Purpose Vehicles and similar entities involved in project finance transactions through Public-Private Partnership projects.</w:t>
      </w:r>
    </w:p>
    <w:p w14:paraId="54841625" w14:textId="77777777" w:rsidR="00897B51" w:rsidRPr="00353F2F" w:rsidRDefault="00897B51" w:rsidP="00353F2F">
      <w:pPr>
        <w:pStyle w:val="ListParagraph"/>
        <w:numPr>
          <w:ilvl w:val="0"/>
          <w:numId w:val="3"/>
        </w:numPr>
        <w:spacing w:before="240" w:line="480" w:lineRule="auto"/>
        <w:jc w:val="both"/>
        <w:rPr>
          <w:rFonts w:ascii="Times New Roman" w:hAnsi="Times New Roman" w:cs="Times New Roman"/>
          <w:sz w:val="24"/>
          <w:szCs w:val="24"/>
        </w:rPr>
      </w:pPr>
      <w:r w:rsidRPr="00353F2F">
        <w:rPr>
          <w:rFonts w:ascii="Times New Roman" w:hAnsi="Times New Roman" w:cs="Times New Roman"/>
          <w:sz w:val="24"/>
          <w:szCs w:val="24"/>
        </w:rPr>
        <w:t>To analyze the corporate governance mechanisms commonly adopted in Nigerian project finance structures and the extent of their compliance with governance standards.</w:t>
      </w:r>
    </w:p>
    <w:p w14:paraId="6A526753" w14:textId="77777777" w:rsidR="00897B51" w:rsidRPr="00353F2F" w:rsidRDefault="00897B51" w:rsidP="00353F2F">
      <w:pPr>
        <w:pStyle w:val="ListParagraph"/>
        <w:numPr>
          <w:ilvl w:val="0"/>
          <w:numId w:val="3"/>
        </w:num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Develop policy and doctrinal recommendations to strengthen governance, compliance, and bankability mechanisms in Nigerian project finance.</w:t>
      </w:r>
    </w:p>
    <w:p w14:paraId="7652CBD7" w14:textId="77777777" w:rsidR="00897B51" w:rsidRPr="00353F2F" w:rsidRDefault="00897B51" w:rsidP="00353F2F">
      <w:pPr>
        <w:pStyle w:val="ListParagraph"/>
        <w:spacing w:line="480" w:lineRule="auto"/>
        <w:ind w:left="1080"/>
        <w:jc w:val="both"/>
        <w:rPr>
          <w:rFonts w:ascii="Times New Roman" w:hAnsi="Times New Roman" w:cs="Times New Roman"/>
          <w:sz w:val="24"/>
          <w:szCs w:val="24"/>
        </w:rPr>
      </w:pPr>
    </w:p>
    <w:p w14:paraId="6162FE80"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Scope and Limitations of the Study</w:t>
      </w:r>
    </w:p>
    <w:p w14:paraId="2DCA5708"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Substantively, the study is confined to corporate governance as a risk-mitigation mechanism in project finance and PPP-type infrastructure projects in Nigeria, rather than corporate finance or general listed-company governance. It focuses primarily on sectors where project finance and PPPs have been actively pursued, such as housing, transport, energy, and key social infrastructure, drawing on documented Nigerian case studies and empirical work. The temporal scope centers on the contemporary governance regime inaugurated by NCCG 2018 and subsequent PPP/ICRC legislation and reforms, though earlier practice is referenced where necessary to contextualize trends.</w:t>
      </w:r>
    </w:p>
    <w:p w14:paraId="4679A247"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 xml:space="preserve">This study is limited by the research methodology adopted which limits its focus to primary or secondary sources of law with scarcity of published empirical or quantitative analysis on governance within Nigerian project finance SPVs. To address this, the research relies on the available legislation, case studies, ICRC and National Treasury guidelines, and public reports. </w:t>
      </w:r>
    </w:p>
    <w:p w14:paraId="43534580"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Significance of the Study</w:t>
      </w:r>
    </w:p>
    <w:p w14:paraId="6C9E12D1"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In an era where infrastructural development and industrialization rise at their peak in developing countries such as Nigeria, project finance and corporate governance continue to stand out as essential features in the corporate sector, amongst others, without limitations to entities involved in project finance transactions, particularly the Special Purpose Vehicles. The analysis of these components put together makes an important contribution to understanding the legal implications of complying with corporate governance codes on the viability and bankability of PPP projects. At a time when the Nigerian government, private entities, financial institutions, and Development Financial Institutions are committed to mobilizing trillions of naira in private infrastructure investment through the PPP mechanism, the integrity and reliability of these project companies have never been more consequential. </w:t>
      </w:r>
    </w:p>
    <w:p w14:paraId="0744DB88"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A project finance transaction that seems viable but fails to meet governance standards stands at a loss, as violation of these codes may trigger penalties, loss of licenses, and other factors capable of destroying the investor confidence it is designed to build. From a practical and professional standpoint, this study is valuable to legal practitioners by providing guidance for advisories on corporate governance obligations, contract enforceability, and dispute resolution exposure in PPP spheres. For sponsors, lenders, and transaction advisers, it highlights the importance of aligning corporate governance compliance with risk mitigation in project finance transactions. By drawing on recent empirical and conceptual work on corporate governance in Nigeria - particularly studies </w:t>
      </w:r>
      <w:r w:rsidRPr="00353F2F">
        <w:rPr>
          <w:rFonts w:ascii="Times New Roman" w:hAnsi="Times New Roman" w:cs="Times New Roman"/>
          <w:sz w:val="24"/>
          <w:szCs w:val="24"/>
        </w:rPr>
        <w:lastRenderedPageBreak/>
        <w:t>linking governance mechanisms to performance, cost of debt, and investor confidence - the thesis extends this literature into the under-studied domain of project-level finance entities.</w:t>
      </w:r>
    </w:p>
    <w:p w14:paraId="77A6B0C4"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Ultimately, better governance and clearer compliance expectations can reduce transaction costs, lower risk premia, and attract greater volumes of long-term capital into Nigerian infrastructure, helping to address chronic infrastructure gaps while aligning with regional and global best practices.</w:t>
      </w:r>
    </w:p>
    <w:p w14:paraId="50D85087"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Research Methodology</w:t>
      </w:r>
    </w:p>
    <w:p w14:paraId="159638AA"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study adopts a doctrinal legal research methodology. This research methodology is often defined as the approach used in offering an explanation of legal rules covering a particular area of law; evaluating the connection between various legal rules or predicting the development in law with a strict focus on primary and secondary legal sources.</w:t>
      </w:r>
      <w:r w:rsidRPr="00353F2F">
        <w:rPr>
          <w:rStyle w:val="FootnoteReference"/>
          <w:rFonts w:ascii="Times New Roman" w:hAnsi="Times New Roman" w:cs="Times New Roman"/>
          <w:sz w:val="24"/>
          <w:szCs w:val="24"/>
        </w:rPr>
        <w:footnoteReference w:id="13"/>
      </w:r>
      <w:r w:rsidRPr="00353F2F">
        <w:rPr>
          <w:rFonts w:ascii="Times New Roman" w:hAnsi="Times New Roman" w:cs="Times New Roman"/>
          <w:sz w:val="24"/>
          <w:szCs w:val="24"/>
        </w:rPr>
        <w:t xml:space="preserve"> The ability to analyze and synthesize such a wide array of data is one of the key strengths of the doctrinal approach, making it an excellent fit for the objectives of this research. The analysis examines how these frameworks define governance responsibilities, allocate risks, prescribe disclosure and reporting obligations, and structure oversight throughout the project life-cycle. The core of the research involves a rigorous and comprehensive analysis of Nigerian legal, and regulatory framework, relevant texts and journals that intends to critique and evaluate the legal aspects of corporate governance as it relates to corporate governance as a risk mitigation tool in project finance transactions in Nigeria. The ability to identify, assess, allocate, and mitigate risk is a necessary tool to show, not only the creditworthiness of project sponsors, but also the viability and bankability of the same. Thus, this </w:t>
      </w:r>
      <w:r w:rsidRPr="00353F2F">
        <w:rPr>
          <w:rFonts w:ascii="Times New Roman" w:hAnsi="Times New Roman" w:cs="Times New Roman"/>
          <w:sz w:val="24"/>
          <w:szCs w:val="24"/>
        </w:rPr>
        <w:lastRenderedPageBreak/>
        <w:t>method enables a comprehensive review of a broad range of legal materials, crucial for providing a holistic view of the corporate governance framework vis-à-vis PPPs in Nigeria, particularly incorporating selected Nigerian case studies from sectors such as energy, infrastructure, health, and housing.  It will also engage with practitioner-oriented commentary on the ICRC-PPP financial model guide and Nigerian project finance practice, which provides insight into current market expectations and perceived gaps in governance and risk allocation.</w:t>
      </w:r>
    </w:p>
    <w:p w14:paraId="3F08A1A2" w14:textId="77777777" w:rsidR="00897B51" w:rsidRPr="00353F2F" w:rsidRDefault="00897B51" w:rsidP="00353F2F">
      <w:pPr>
        <w:pStyle w:val="ListParagraph"/>
        <w:numPr>
          <w:ilvl w:val="1"/>
          <w:numId w:val="1"/>
        </w:num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Synopsis of Chapters</w:t>
      </w:r>
    </w:p>
    <w:p w14:paraId="492D8F74"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This research comprises five chapters. The first chapter begins with a Background of the study, providing context and rationale for the research by detailing the issues and environment prompting the investigation. This is followed by the Statement of the research problem, which outlines the specific problems or gaps in knowledge the study aims to address. The Research question section lists the key questions the study seeks to answer, while the Aim and Objectives of the study define the main goals and specific objectives intended for achievement. The Scope and Limitations of the study describe the boundaries of the research and any limitations that may affect the findings. The Significance of the study highlights the importance and potential impact of the study’s findings, while situating the study within the Nigerian regulatory environment under NCCG 2018, CAMA 2020 and PPP/ICRC frameworks. The chapter also includes a description of the Research methodology, detailing the methods and approaches used in conducting the research.</w:t>
      </w:r>
    </w:p>
    <w:p w14:paraId="73E5398B"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second chapter focuses on establishing a foundation for the research with conceptual clarifications that define key concepts and terms used in the study. It outlines the conceptual clarification and theoretical framework, providing relevant theories and definition of terms used in the study. This chapter discusses several theories pertinent to corporate governance, such as agency theory, stakeholder theory, and risk-allocation theory, and shows how these frameworks </w:t>
      </w:r>
      <w:r w:rsidRPr="00353F2F">
        <w:rPr>
          <w:rFonts w:ascii="Times New Roman" w:hAnsi="Times New Roman" w:cs="Times New Roman"/>
          <w:sz w:val="24"/>
          <w:szCs w:val="24"/>
        </w:rPr>
        <w:lastRenderedPageBreak/>
        <w:t>explain the relationship between governance mechanisms, risk mitigation, and financing decisions in project-financed infrastructure. The Literature review section offers a comprehensive review of existing literature related to the study, summarizing previous research and identifying gaps that the current study aims to fill.</w:t>
      </w:r>
    </w:p>
    <w:p w14:paraId="3BDD729F"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third chapter undertakes a doctrinal analysis of the Nigerian legal and regulatory framework relevant to corporate governance and project finance, including NCCG 2018, CAMA 2020, sectoral guidelines (CBN, SEC, NCC), ICRC Act and PPP regulations. It will explore how these instruments structure board responsibilities, risk-management obligations, disclosure and reporting requirements, and how they apply to SPVs and PPP entities, highlighting gaps, overlaps and enforcement challenges in practices. The chapter further analyses, in detail, the corporate governance mechanisms used in Nigerian project finance structures, such as board composition and independence, risk and audit committees, shareholder agreements, information and consent rights, and lender covenant packages – evaluates how they mitigate key project risks (construction, demand, regulatory, political, foreign-exchange risk) across the project life cycle. Drawing on Nigerian PPP and project finance studies, as well as selected case material where available, the chapter will examine how effective or ineffective these mechanisms have been in practice in various sectors such as transport, health and energy.</w:t>
      </w:r>
    </w:p>
    <w:p w14:paraId="3983119B"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fourth chapter focuses on the relationship between compliance with governance standards and the bankability of Nigerian project finance transactions. It will assess how lenders, investors and DFIs evaluate governance and compliance when appraising Nigerian projects, drawing on ICRC and PPP financial model guidance, and how these assessments translate into pricing, covenant intensity, security requirements and the likelihood of financial close. The chapter will also discuss real-world examples where weak governance or poor compliance contributed to cost overruns, </w:t>
      </w:r>
      <w:r w:rsidRPr="00353F2F">
        <w:rPr>
          <w:rFonts w:ascii="Times New Roman" w:hAnsi="Times New Roman" w:cs="Times New Roman"/>
          <w:sz w:val="24"/>
          <w:szCs w:val="24"/>
        </w:rPr>
        <w:lastRenderedPageBreak/>
        <w:t>renegotiations, distress or failure, contrasting them with better-governed, bankable transactions whilst making reference to how corporate governance is deployed as a risk mitigation and accountability tool in project finance in selected jurisdictions, focusing on governance requirements, risk allocation, disclosure and accountability mechanisms. Lessons from these jurisdictions, particularly in integrating governance metrics into PPP approval processes, contract management and reporting, will be distilled for possible adaptation to the Nigerian context.</w:t>
      </w:r>
    </w:p>
    <w:p w14:paraId="74474AF6" w14:textId="77777777" w:rsidR="00897B51" w:rsidRPr="00353F2F" w:rsidRDefault="00897B51"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The fifth chapter synthesizes the major findings of the research in relation to the aims and research questions, highlighting how corporate governance operates, and often fails to operate, as a risk mitigation and bankability tool in Nigerian project finance. Building on doctrinal analysis, this chapter will propose concrete legal, regulatory, and contractual reforms, such as amendments or guidance under NCCG 2018 and PPP regulations, more explicit governance criteria in ICRC project screening and financial model review, and market-practice templates for SPV governance, to strengthen Nigeria’s project finance framework. It will then offer a concise conclusion, indicating the study’s contribution to knowledge and suggesting areas for further research.</w:t>
      </w:r>
    </w:p>
    <w:p w14:paraId="6E13AF88" w14:textId="77777777" w:rsidR="00897B51" w:rsidRPr="00353F2F" w:rsidRDefault="00897B51" w:rsidP="00353F2F">
      <w:pPr>
        <w:spacing w:line="480" w:lineRule="auto"/>
        <w:rPr>
          <w:rFonts w:ascii="Times New Roman" w:hAnsi="Times New Roman" w:cs="Times New Roman"/>
          <w:sz w:val="24"/>
          <w:szCs w:val="24"/>
        </w:rPr>
      </w:pPr>
      <w:r w:rsidRPr="00353F2F">
        <w:rPr>
          <w:rFonts w:ascii="Times New Roman" w:hAnsi="Times New Roman" w:cs="Times New Roman"/>
          <w:sz w:val="24"/>
          <w:szCs w:val="24"/>
        </w:rPr>
        <w:br w:type="page"/>
      </w:r>
    </w:p>
    <w:p w14:paraId="0441F177" w14:textId="77777777" w:rsidR="00897B51" w:rsidRPr="00353F2F" w:rsidRDefault="00897B51" w:rsidP="00353F2F">
      <w:pPr>
        <w:spacing w:after="200" w:line="480" w:lineRule="auto"/>
        <w:jc w:val="center"/>
        <w:rPr>
          <w:rFonts w:ascii="Times New Roman" w:hAnsi="Times New Roman" w:cs="Times New Roman"/>
          <w:sz w:val="24"/>
          <w:szCs w:val="24"/>
        </w:rPr>
      </w:pPr>
      <w:r w:rsidRPr="00353F2F">
        <w:rPr>
          <w:rFonts w:ascii="Times New Roman" w:hAnsi="Times New Roman" w:cs="Times New Roman"/>
          <w:b/>
          <w:bCs/>
          <w:sz w:val="24"/>
          <w:szCs w:val="24"/>
        </w:rPr>
        <w:lastRenderedPageBreak/>
        <w:t>CHAPTER TWO</w:t>
      </w:r>
    </w:p>
    <w:p w14:paraId="70D91BD9" w14:textId="77777777" w:rsidR="00897B51" w:rsidRPr="00353F2F" w:rsidRDefault="00897B51" w:rsidP="00353F2F">
      <w:pPr>
        <w:spacing w:after="400" w:line="480" w:lineRule="auto"/>
        <w:jc w:val="center"/>
        <w:rPr>
          <w:rFonts w:ascii="Times New Roman" w:hAnsi="Times New Roman" w:cs="Times New Roman"/>
          <w:sz w:val="24"/>
          <w:szCs w:val="24"/>
        </w:rPr>
      </w:pPr>
      <w:r w:rsidRPr="00353F2F">
        <w:rPr>
          <w:rFonts w:ascii="Times New Roman" w:hAnsi="Times New Roman" w:cs="Times New Roman"/>
          <w:b/>
          <w:bCs/>
          <w:sz w:val="24"/>
          <w:szCs w:val="24"/>
        </w:rPr>
        <w:t>CONCEPTUAL CLARIFICATION, THEORETICAL FRAMEWORK AND LITERATURE REVIEW</w:t>
      </w:r>
    </w:p>
    <w:p w14:paraId="540E47D2" w14:textId="77777777" w:rsidR="00897B51" w:rsidRPr="00353F2F" w:rsidRDefault="00897B51" w:rsidP="00353F2F">
      <w:pPr>
        <w:pStyle w:val="Heading1"/>
        <w:spacing w:before="320" w:after="200" w:line="480" w:lineRule="auto"/>
        <w:rPr>
          <w:sz w:val="24"/>
          <w:szCs w:val="24"/>
        </w:rPr>
      </w:pPr>
      <w:r w:rsidRPr="00353F2F">
        <w:rPr>
          <w:sz w:val="24"/>
          <w:szCs w:val="24"/>
        </w:rPr>
        <w:t>2.1 CONCEPTUAL CLARIFICATIONS</w:t>
      </w:r>
    </w:p>
    <w:p w14:paraId="42E62406" w14:textId="77777777" w:rsidR="00897B51" w:rsidRPr="00353F2F" w:rsidRDefault="00897B51" w:rsidP="00353F2F">
      <w:pPr>
        <w:pStyle w:val="Heading2"/>
        <w:spacing w:before="320" w:line="480" w:lineRule="auto"/>
        <w:rPr>
          <w:sz w:val="24"/>
          <w:szCs w:val="24"/>
        </w:rPr>
      </w:pPr>
      <w:r w:rsidRPr="00353F2F">
        <w:rPr>
          <w:sz w:val="24"/>
          <w:szCs w:val="24"/>
        </w:rPr>
        <w:t>2.1.1 Corporate Governance</w:t>
      </w:r>
    </w:p>
    <w:p w14:paraId="1200C0C4" w14:textId="77777777" w:rsidR="00897B51" w:rsidRPr="00353F2F" w:rsidRDefault="00897B51" w:rsidP="00353F2F">
      <w:pPr>
        <w:spacing w:before="240" w:line="480" w:lineRule="auto"/>
        <w:jc w:val="both"/>
        <w:rPr>
          <w:rFonts w:ascii="Times New Roman" w:hAnsi="Times New Roman" w:cs="Times New Roman"/>
          <w:sz w:val="24"/>
          <w:szCs w:val="24"/>
        </w:rPr>
      </w:pPr>
      <w:r w:rsidRPr="00353F2F">
        <w:rPr>
          <w:rFonts w:ascii="Times New Roman" w:hAnsi="Times New Roman" w:cs="Times New Roman"/>
          <w:sz w:val="24"/>
          <w:szCs w:val="24"/>
        </w:rPr>
        <w:t>Corporate governance refers to the systems, structures, and processes through which a company is directed, controlled, and held accountable to its stakeholders.</w:t>
      </w:r>
      <w:r w:rsidRPr="00353F2F">
        <w:rPr>
          <w:rStyle w:val="FootnoteReference"/>
          <w:rFonts w:ascii="Times New Roman" w:hAnsi="Times New Roman" w:cs="Times New Roman"/>
          <w:sz w:val="24"/>
          <w:szCs w:val="24"/>
        </w:rPr>
        <w:footnoteReference w:id="14"/>
      </w:r>
      <w:r w:rsidRPr="00353F2F">
        <w:rPr>
          <w:rFonts w:ascii="Times New Roman" w:hAnsi="Times New Roman" w:cs="Times New Roman"/>
          <w:sz w:val="24"/>
          <w:szCs w:val="24"/>
        </w:rPr>
        <w:t xml:space="preserve"> It means the mechanisms that align the interests of owners (shareholders), managers, and other stakeholders, such as employees, creditors, and the state, to ensure prudent decision-making, transparency, and long-term value creation.</w:t>
      </w:r>
      <w:r w:rsidRPr="00353F2F">
        <w:rPr>
          <w:rStyle w:val="FootnoteReference"/>
          <w:rFonts w:ascii="Times New Roman" w:hAnsi="Times New Roman" w:cs="Times New Roman"/>
          <w:sz w:val="24"/>
          <w:szCs w:val="24"/>
        </w:rPr>
        <w:footnoteReference w:id="15"/>
      </w:r>
      <w:r w:rsidRPr="00353F2F">
        <w:rPr>
          <w:rFonts w:ascii="Times New Roman" w:hAnsi="Times New Roman" w:cs="Times New Roman"/>
          <w:sz w:val="24"/>
          <w:szCs w:val="24"/>
        </w:rPr>
        <w:t xml:space="preserve"> This concept has three key functions, which are, </w:t>
      </w:r>
      <w:r w:rsidRPr="00353F2F">
        <w:rPr>
          <w:rStyle w:val="Strong"/>
          <w:rFonts w:ascii="Times New Roman" w:hAnsi="Times New Roman" w:cs="Times New Roman"/>
          <w:sz w:val="24"/>
          <w:szCs w:val="24"/>
        </w:rPr>
        <w:t>direction (</w:t>
      </w:r>
      <w:r w:rsidRPr="00353F2F">
        <w:rPr>
          <w:rFonts w:ascii="Times New Roman" w:hAnsi="Times New Roman" w:cs="Times New Roman"/>
          <w:sz w:val="24"/>
          <w:szCs w:val="24"/>
        </w:rPr>
        <w:t>connotes the strategic setting of objectives and policies by the board of directors, which acts as the apex organ of governance</w:t>
      </w:r>
      <w:r w:rsidRPr="00353F2F">
        <w:rPr>
          <w:rStyle w:val="Strong"/>
          <w:rFonts w:ascii="Times New Roman" w:hAnsi="Times New Roman" w:cs="Times New Roman"/>
          <w:sz w:val="24"/>
          <w:szCs w:val="24"/>
        </w:rPr>
        <w:t>)</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control (</w:t>
      </w:r>
      <w:r w:rsidRPr="00353F2F">
        <w:rPr>
          <w:rFonts w:ascii="Times New Roman" w:hAnsi="Times New Roman" w:cs="Times New Roman"/>
          <w:sz w:val="24"/>
          <w:szCs w:val="24"/>
        </w:rPr>
        <w:t>encompasses the establishment of internal controls, risk</w:t>
      </w:r>
      <w:r w:rsidRPr="00353F2F">
        <w:rPr>
          <w:rFonts w:ascii="Times New Roman" w:hAnsi="Times New Roman" w:cs="Times New Roman"/>
          <w:sz w:val="24"/>
          <w:szCs w:val="24"/>
        </w:rPr>
        <w:noBreakHyphen/>
        <w:t>management frameworks, and incentives that guide management behavior and safeguard assets.</w:t>
      </w:r>
      <w:r w:rsidRPr="00353F2F">
        <w:rPr>
          <w:rStyle w:val="Strong"/>
          <w:rFonts w:ascii="Times New Roman" w:hAnsi="Times New Roman" w:cs="Times New Roman"/>
          <w:sz w:val="24"/>
          <w:szCs w:val="24"/>
        </w:rPr>
        <w:t>)</w:t>
      </w:r>
      <w:r w:rsidRPr="00353F2F">
        <w:rPr>
          <w:rFonts w:ascii="Times New Roman" w:hAnsi="Times New Roman" w:cs="Times New Roman"/>
          <w:sz w:val="24"/>
          <w:szCs w:val="24"/>
        </w:rPr>
        <w:t xml:space="preserve">, and </w:t>
      </w:r>
      <w:r w:rsidRPr="00353F2F">
        <w:rPr>
          <w:rStyle w:val="Strong"/>
          <w:rFonts w:ascii="Times New Roman" w:hAnsi="Times New Roman" w:cs="Times New Roman"/>
          <w:sz w:val="24"/>
          <w:szCs w:val="24"/>
        </w:rPr>
        <w:t>accountability (</w:t>
      </w:r>
      <w:r w:rsidRPr="00353F2F">
        <w:rPr>
          <w:rFonts w:ascii="Times New Roman" w:hAnsi="Times New Roman" w:cs="Times New Roman"/>
          <w:sz w:val="24"/>
          <w:szCs w:val="24"/>
        </w:rPr>
        <w:t>involves mechanisms such as audits, disclosures, and stakeholder reporting that enable monitoring and evaluation of performance</w:t>
      </w:r>
      <w:r w:rsidRPr="00353F2F">
        <w:rPr>
          <w:rStyle w:val="Strong"/>
          <w:rFonts w:ascii="Times New Roman" w:hAnsi="Times New Roman" w:cs="Times New Roman"/>
          <w:sz w:val="24"/>
          <w:szCs w:val="24"/>
        </w:rPr>
        <w:t>)</w:t>
      </w:r>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16"/>
      </w:r>
      <w:r w:rsidRPr="00353F2F">
        <w:rPr>
          <w:rFonts w:ascii="Times New Roman" w:hAnsi="Times New Roman" w:cs="Times New Roman"/>
          <w:sz w:val="24"/>
          <w:szCs w:val="24"/>
        </w:rPr>
        <w:t xml:space="preserve"> These elements constitute the governance architecture that shapes how a corporation allocates resources, manages risk, and interacts with its environment.</w:t>
      </w:r>
    </w:p>
    <w:p w14:paraId="41EFD6BA"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Historically, the concept of corporate governance has occupied a central position in legal, business, and financial discourse since the latter part of the twentieth century. Although practitioners and scholars have long grappled with questions of managerial accountability and investor protection, it was the landmark Cadbury Committee Report of 1992 that first crystallized a working definition of the concept, describing corporate governance as "the system by which companies are directed and controlled."</w:t>
      </w:r>
      <w:r w:rsidRPr="00353F2F">
        <w:rPr>
          <w:rStyle w:val="FootnoteReference"/>
          <w:rFonts w:ascii="Times New Roman" w:hAnsi="Times New Roman" w:cs="Times New Roman"/>
          <w:sz w:val="24"/>
          <w:szCs w:val="24"/>
        </w:rPr>
        <w:footnoteReference w:id="17"/>
      </w:r>
      <w:r w:rsidRPr="00353F2F">
        <w:rPr>
          <w:rFonts w:ascii="Times New Roman" w:hAnsi="Times New Roman" w:cs="Times New Roman"/>
          <w:sz w:val="24"/>
          <w:szCs w:val="24"/>
        </w:rPr>
        <w:t xml:space="preserve"> This simple formulation of the concept has since undergone considerable enrichment and expansion, particularly as the complexities of modern corporate life, marked by the separation of ownership from control, the rise of institutional investors, and the increasing internationalization of capital markets, have demanded more sophisticated and layered conceptualizations.</w:t>
      </w:r>
    </w:p>
    <w:p w14:paraId="290D67E7"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Organization for Economic Co-operation and Development (OECD), in its seminal Principles of Corporate Governance, broadened the scope of the concept to encompass the relationships among the management, board of directors, shareholders, and other stakeholders of a company, as well as the structure through which the objectives of the company are set and the means for attaining those objectives and monitoring performance are determined.</w:t>
      </w:r>
      <w:r w:rsidRPr="00353F2F">
        <w:rPr>
          <w:rStyle w:val="FootnoteReference"/>
          <w:rFonts w:ascii="Times New Roman" w:hAnsi="Times New Roman" w:cs="Times New Roman"/>
          <w:sz w:val="24"/>
          <w:szCs w:val="24"/>
        </w:rPr>
        <w:footnoteReference w:id="18"/>
      </w:r>
      <w:r w:rsidRPr="00353F2F">
        <w:rPr>
          <w:rFonts w:ascii="Times New Roman" w:hAnsi="Times New Roman" w:cs="Times New Roman"/>
          <w:sz w:val="24"/>
          <w:szCs w:val="24"/>
        </w:rPr>
        <w:t xml:space="preserve"> This broader articulation situates corporate governance, not merely within the narrow confines of board structure or shareholder rights, but as an all-encompassing system of incentives, constraints, checks and balances that shapes how corporate power is exercised.</w:t>
      </w:r>
    </w:p>
    <w:p w14:paraId="0257C397"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In Nigeria, the Nigerian Code of Corporate Governance 2018, issued by the Financial Reporting Council of Nigeria, represents the most comprehensive codification of governance standards </w:t>
      </w:r>
      <w:r w:rsidRPr="00353F2F">
        <w:rPr>
          <w:rFonts w:ascii="Times New Roman" w:hAnsi="Times New Roman" w:cs="Times New Roman"/>
          <w:sz w:val="24"/>
          <w:szCs w:val="24"/>
        </w:rPr>
        <w:lastRenderedPageBreak/>
        <w:t>applicable to public companies, private companies above a prescribed threshold, and entities of significant public interest.</w:t>
      </w:r>
      <w:r w:rsidRPr="00353F2F">
        <w:rPr>
          <w:rStyle w:val="FootnoteReference"/>
          <w:rFonts w:ascii="Times New Roman" w:hAnsi="Times New Roman" w:cs="Times New Roman"/>
          <w:sz w:val="24"/>
          <w:szCs w:val="24"/>
        </w:rPr>
        <w:footnoteReference w:id="19"/>
      </w:r>
      <w:r w:rsidRPr="00353F2F">
        <w:rPr>
          <w:rFonts w:ascii="Times New Roman" w:hAnsi="Times New Roman" w:cs="Times New Roman"/>
          <w:sz w:val="24"/>
          <w:szCs w:val="24"/>
        </w:rPr>
        <w:t xml:space="preserve"> The Code establishes principles governing board composition and independence, executive remuneration, audit committee functions, transparency and disclosure, and stakeholder engagement. These principles operate alongside the statutory framework established by the Companies and Allied Matters Act (CAMA) 2020, which contains extensive provisions on directors' duties, shareholder rights, corporate meetings, and financial reporting obligations.</w:t>
      </w:r>
      <w:r w:rsidRPr="00353F2F">
        <w:rPr>
          <w:rStyle w:val="FootnoteReference"/>
          <w:rFonts w:ascii="Times New Roman" w:hAnsi="Times New Roman" w:cs="Times New Roman"/>
          <w:sz w:val="24"/>
          <w:szCs w:val="24"/>
        </w:rPr>
        <w:footnoteReference w:id="20"/>
      </w:r>
    </w:p>
    <w:p w14:paraId="7BF733F2"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Central Bank of Nigeria (CBN) has similarly promulgated its Code of Corporate Governance for Banks and Discount Houses, which imposes sector-specific governance requirements on financial institutions, including minimum standards for board independence, the qualifications of executive directors, and the constitution and functions of board-level risk and audit committees.</w:t>
      </w:r>
      <w:r w:rsidRPr="00353F2F">
        <w:rPr>
          <w:rStyle w:val="FootnoteReference"/>
          <w:rFonts w:ascii="Times New Roman" w:hAnsi="Times New Roman" w:cs="Times New Roman"/>
          <w:sz w:val="24"/>
          <w:szCs w:val="24"/>
        </w:rPr>
        <w:footnoteReference w:id="21"/>
      </w:r>
    </w:p>
    <w:p w14:paraId="5590BEAE"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Investment and Securities Act 2025 further provides the institutional basis for the Securities and Exchange Commission's oversight role in regulating corporate governance standards for public companies and entities that access capital markets.</w:t>
      </w:r>
      <w:r w:rsidRPr="00353F2F">
        <w:rPr>
          <w:rStyle w:val="FootnoteReference"/>
          <w:rFonts w:ascii="Times New Roman" w:hAnsi="Times New Roman" w:cs="Times New Roman"/>
          <w:sz w:val="24"/>
          <w:szCs w:val="24"/>
        </w:rPr>
        <w:footnoteReference w:id="22"/>
      </w:r>
      <w:r w:rsidRPr="00353F2F">
        <w:rPr>
          <w:rFonts w:ascii="Times New Roman" w:hAnsi="Times New Roman" w:cs="Times New Roman"/>
          <w:sz w:val="24"/>
          <w:szCs w:val="24"/>
        </w:rPr>
        <w:t xml:space="preserve"> The World Bank's Report on the Observance of Standards and Codes for Nigeria noted that, despite significant regulatory reform efforts, practical compliance with governance standards remains uneven, particularly among smaller entities and in sectors where regulatory oversight is less intensive.</w:t>
      </w:r>
      <w:r w:rsidRPr="00353F2F">
        <w:rPr>
          <w:rStyle w:val="FootnoteReference"/>
          <w:rFonts w:ascii="Times New Roman" w:hAnsi="Times New Roman" w:cs="Times New Roman"/>
          <w:sz w:val="24"/>
          <w:szCs w:val="24"/>
        </w:rPr>
        <w:footnoteReference w:id="23"/>
      </w:r>
      <w:r w:rsidRPr="00353F2F">
        <w:rPr>
          <w:rFonts w:ascii="Times New Roman" w:hAnsi="Times New Roman" w:cs="Times New Roman"/>
          <w:sz w:val="24"/>
          <w:szCs w:val="24"/>
        </w:rPr>
        <w:t xml:space="preserve"> </w:t>
      </w:r>
    </w:p>
    <w:p w14:paraId="2CEFFC0B"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Corporate governance is therefore understood as the integrated system of rules, institutions, practices, incentives and accountability mechanisms through which companies are directed, controlled, and held to account, with particular emphasis on how these mechanisms function within the project finance context to mitigate risk and enhance bankability.</w:t>
      </w:r>
    </w:p>
    <w:p w14:paraId="0DA4FBE1" w14:textId="77777777" w:rsidR="00897B51" w:rsidRPr="00353F2F" w:rsidRDefault="00897B51" w:rsidP="00353F2F">
      <w:pPr>
        <w:pStyle w:val="Heading2"/>
        <w:spacing w:before="320" w:line="480" w:lineRule="auto"/>
        <w:rPr>
          <w:sz w:val="24"/>
          <w:szCs w:val="24"/>
        </w:rPr>
      </w:pPr>
      <w:r w:rsidRPr="00353F2F">
        <w:rPr>
          <w:sz w:val="24"/>
          <w:szCs w:val="24"/>
        </w:rPr>
        <w:t>2.1.2 Project Finance</w:t>
      </w:r>
    </w:p>
    <w:p w14:paraId="0D5F9DF7"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Project finance is a specialized method of raising long-term debt financing for large-scale infrastructure and industrial projects on the basis of the projected cash flows of the project itself, rather than on the general creditworthiness or balance sheet strength of the project sponsors. It is a specialized form of financing in which the lender’s credit assessment is based primarily on the </w:t>
      </w:r>
      <w:r w:rsidRPr="00353F2F">
        <w:rPr>
          <w:rStyle w:val="Strong"/>
          <w:rFonts w:ascii="Times New Roman" w:hAnsi="Times New Roman" w:cs="Times New Roman"/>
          <w:sz w:val="24"/>
          <w:szCs w:val="24"/>
        </w:rPr>
        <w:t>project’s cash flows, assets, and contractual framework</w:t>
      </w:r>
      <w:r w:rsidRPr="00353F2F">
        <w:rPr>
          <w:rFonts w:ascii="Times New Roman" w:hAnsi="Times New Roman" w:cs="Times New Roman"/>
          <w:sz w:val="24"/>
          <w:szCs w:val="24"/>
        </w:rPr>
        <w:t>, rather than on the broader balance sheet of the sponsor.</w:t>
      </w:r>
      <w:r w:rsidRPr="00353F2F">
        <w:rPr>
          <w:rStyle w:val="FootnoteReference"/>
          <w:rFonts w:ascii="Times New Roman" w:hAnsi="Times New Roman" w:cs="Times New Roman"/>
          <w:sz w:val="24"/>
          <w:szCs w:val="24"/>
        </w:rPr>
        <w:footnoteReference w:id="24"/>
      </w:r>
      <w:r w:rsidRPr="00353F2F">
        <w:rPr>
          <w:rFonts w:ascii="Times New Roman" w:hAnsi="Times New Roman" w:cs="Times New Roman"/>
          <w:sz w:val="24"/>
          <w:szCs w:val="24"/>
        </w:rPr>
        <w:t xml:space="preserve"> Hoffman</w:t>
      </w:r>
      <w:r w:rsidRPr="00353F2F">
        <w:rPr>
          <w:rStyle w:val="FootnoteReference"/>
          <w:rFonts w:ascii="Times New Roman" w:hAnsi="Times New Roman" w:cs="Times New Roman"/>
          <w:sz w:val="24"/>
          <w:szCs w:val="24"/>
        </w:rPr>
        <w:footnoteReference w:id="25"/>
      </w:r>
      <w:r w:rsidRPr="00353F2F">
        <w:rPr>
          <w:rFonts w:ascii="Times New Roman" w:hAnsi="Times New Roman" w:cs="Times New Roman"/>
          <w:sz w:val="24"/>
          <w:szCs w:val="24"/>
        </w:rPr>
        <w:t xml:space="preserve"> defines it as: </w:t>
      </w:r>
    </w:p>
    <w:p w14:paraId="283BBB30" w14:textId="77777777" w:rsidR="00897B51" w:rsidRPr="00353F2F" w:rsidRDefault="00897B51" w:rsidP="00353F2F">
      <w:pPr>
        <w:spacing w:before="160" w:line="480" w:lineRule="auto"/>
        <w:ind w:left="1440" w:right="720"/>
        <w:jc w:val="both"/>
        <w:rPr>
          <w:rFonts w:ascii="Times New Roman" w:hAnsi="Times New Roman" w:cs="Times New Roman"/>
          <w:sz w:val="24"/>
          <w:szCs w:val="24"/>
        </w:rPr>
      </w:pPr>
      <w:r w:rsidRPr="00353F2F">
        <w:rPr>
          <w:rFonts w:ascii="Times New Roman" w:hAnsi="Times New Roman" w:cs="Times New Roman"/>
          <w:sz w:val="24"/>
          <w:szCs w:val="24"/>
        </w:rPr>
        <w:t xml:space="preserve">the financing of a particular economic unit in which a lender is satisfied to look initially to the cash flows and earnings of that economic unit as the source of funds from which a loan will be repaid and to the assets of the economic unit as collateral for the loan. </w:t>
      </w:r>
    </w:p>
    <w:p w14:paraId="1688EB98" w14:textId="77777777" w:rsidR="00897B51" w:rsidRPr="00353F2F" w:rsidRDefault="00897B51" w:rsidP="00353F2F">
      <w:pPr>
        <w:spacing w:before="160" w:line="480" w:lineRule="auto"/>
        <w:ind w:left="1440" w:right="720"/>
        <w:jc w:val="both"/>
        <w:rPr>
          <w:rFonts w:ascii="Times New Roman" w:hAnsi="Times New Roman" w:cs="Times New Roman"/>
          <w:sz w:val="24"/>
          <w:szCs w:val="24"/>
        </w:rPr>
      </w:pPr>
    </w:p>
    <w:p w14:paraId="1DC2E0D1"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In technical terms, it is a </w:t>
      </w:r>
      <w:proofErr w:type="spellStart"/>
      <w:r w:rsidRPr="00353F2F">
        <w:rPr>
          <w:rFonts w:ascii="Times New Roman" w:hAnsi="Times New Roman" w:cs="Times New Roman"/>
          <w:sz w:val="24"/>
          <w:szCs w:val="24"/>
        </w:rPr>
        <w:t>non</w:t>
      </w:r>
      <w:proofErr w:type="spellEnd"/>
      <w:r w:rsidRPr="00353F2F">
        <w:rPr>
          <w:rFonts w:ascii="Times New Roman" w:hAnsi="Times New Roman" w:cs="Times New Roman"/>
          <w:sz w:val="24"/>
          <w:szCs w:val="24"/>
        </w:rPr>
        <w:noBreakHyphen/>
        <w:t xml:space="preserve"> or limited</w:t>
      </w:r>
      <w:r w:rsidRPr="00353F2F">
        <w:rPr>
          <w:rFonts w:ascii="Times New Roman" w:hAnsi="Times New Roman" w:cs="Times New Roman"/>
          <w:sz w:val="24"/>
          <w:szCs w:val="24"/>
        </w:rPr>
        <w:noBreakHyphen/>
        <w:t xml:space="preserve">recourse financing arrangement where repayment depends on the project’s ability to generate sufficient revenues to meet debt obligations, and the lender’s </w:t>
      </w:r>
      <w:r w:rsidRPr="00353F2F">
        <w:rPr>
          <w:rFonts w:ascii="Times New Roman" w:hAnsi="Times New Roman" w:cs="Times New Roman"/>
          <w:sz w:val="24"/>
          <w:szCs w:val="24"/>
        </w:rPr>
        <w:lastRenderedPageBreak/>
        <w:t>security is embedded in project contracts, off</w:t>
      </w:r>
      <w:r w:rsidRPr="00353F2F">
        <w:rPr>
          <w:rFonts w:ascii="Times New Roman" w:hAnsi="Times New Roman" w:cs="Times New Roman"/>
          <w:sz w:val="24"/>
          <w:szCs w:val="24"/>
        </w:rPr>
        <w:noBreakHyphen/>
        <w:t>taker agreements, and asset collateral.</w:t>
      </w:r>
      <w:r w:rsidRPr="00353F2F">
        <w:rPr>
          <w:rStyle w:val="FootnoteReference"/>
          <w:rFonts w:ascii="Times New Roman" w:hAnsi="Times New Roman" w:cs="Times New Roman"/>
          <w:sz w:val="24"/>
          <w:szCs w:val="24"/>
        </w:rPr>
        <w:footnoteReference w:id="26"/>
      </w:r>
      <w:r w:rsidRPr="00353F2F">
        <w:rPr>
          <w:rFonts w:ascii="Times New Roman" w:hAnsi="Times New Roman" w:cs="Times New Roman"/>
          <w:sz w:val="24"/>
          <w:szCs w:val="24"/>
        </w:rPr>
        <w:t xml:space="preserve"> This structural feature distinguishes project finance from conventional corporate lending and has significant implications for the governance, contractual, and risk management architecture of a project. Because lenders cannot rely on sponsor balance sheets for repayment, they invest enormous resources in scrutinizing the project's technical feasibility, legal framework, commercial contracts, regulatory environment, and governance arrangements before committing funds. This approach is particularly common in infrastructure, energy, and industrial projects because such undertakings are typically capital</w:t>
      </w:r>
      <w:r w:rsidRPr="00353F2F">
        <w:rPr>
          <w:rFonts w:ascii="Times New Roman" w:hAnsi="Times New Roman" w:cs="Times New Roman"/>
          <w:sz w:val="24"/>
          <w:szCs w:val="24"/>
        </w:rPr>
        <w:noBreakHyphen/>
        <w:t>intensive, long</w:t>
      </w:r>
      <w:r w:rsidRPr="00353F2F">
        <w:rPr>
          <w:rFonts w:ascii="Times New Roman" w:hAnsi="Times New Roman" w:cs="Times New Roman"/>
          <w:sz w:val="24"/>
          <w:szCs w:val="24"/>
        </w:rPr>
        <w:noBreakHyphen/>
        <w:t>dated, and characterized by high uncertainty.</w:t>
      </w:r>
      <w:r w:rsidRPr="00353F2F">
        <w:rPr>
          <w:rStyle w:val="FootnoteReference"/>
          <w:rFonts w:ascii="Times New Roman" w:hAnsi="Times New Roman" w:cs="Times New Roman"/>
          <w:sz w:val="24"/>
          <w:szCs w:val="24"/>
        </w:rPr>
        <w:footnoteReference w:id="27"/>
      </w:r>
    </w:p>
    <w:p w14:paraId="5837670C"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A defining feature of project finance is the </w:t>
      </w:r>
      <w:r w:rsidRPr="00353F2F">
        <w:rPr>
          <w:rStyle w:val="Strong"/>
          <w:rFonts w:ascii="Times New Roman" w:hAnsi="Times New Roman" w:cs="Times New Roman"/>
          <w:sz w:val="24"/>
          <w:szCs w:val="24"/>
        </w:rPr>
        <w:t>ring</w:t>
      </w:r>
      <w:r w:rsidRPr="00353F2F">
        <w:rPr>
          <w:rStyle w:val="Strong"/>
          <w:rFonts w:ascii="Times New Roman" w:hAnsi="Times New Roman" w:cs="Times New Roman"/>
          <w:sz w:val="24"/>
          <w:szCs w:val="24"/>
        </w:rPr>
        <w:noBreakHyphen/>
        <w:t>fencing of the project</w:t>
      </w:r>
      <w:r w:rsidRPr="00353F2F">
        <w:rPr>
          <w:rFonts w:ascii="Times New Roman" w:hAnsi="Times New Roman" w:cs="Times New Roman"/>
          <w:sz w:val="24"/>
          <w:szCs w:val="24"/>
        </w:rPr>
        <w:t xml:space="preserve"> within a separate legal entity, often a Special Purpose Vehicle (SPV), which isolates project risks from the sponsor’s broader operations.</w:t>
      </w:r>
      <w:r w:rsidRPr="00353F2F">
        <w:rPr>
          <w:rStyle w:val="FootnoteReference"/>
          <w:rFonts w:ascii="Times New Roman" w:hAnsi="Times New Roman" w:cs="Times New Roman"/>
          <w:sz w:val="24"/>
          <w:szCs w:val="24"/>
        </w:rPr>
        <w:footnoteReference w:id="28"/>
      </w:r>
      <w:r w:rsidRPr="00353F2F">
        <w:rPr>
          <w:rFonts w:ascii="Times New Roman" w:hAnsi="Times New Roman" w:cs="Times New Roman"/>
          <w:sz w:val="24"/>
          <w:szCs w:val="24"/>
        </w:rPr>
        <w:t xml:space="preserve"> By ring</w:t>
      </w:r>
      <w:r w:rsidRPr="00353F2F">
        <w:rPr>
          <w:rFonts w:ascii="Times New Roman" w:hAnsi="Times New Roman" w:cs="Times New Roman"/>
          <w:sz w:val="24"/>
          <w:szCs w:val="24"/>
        </w:rPr>
        <w:noBreakHyphen/>
        <w:t>fencing, any default or underperformance is confined to the SPV, thereby limiting the sponsor’s exposure while assuring lenders that the project’s revenues and assets are dedicated to debt service.</w:t>
      </w:r>
      <w:r w:rsidRPr="00353F2F">
        <w:rPr>
          <w:rStyle w:val="FootnoteReference"/>
          <w:rFonts w:ascii="Times New Roman" w:hAnsi="Times New Roman" w:cs="Times New Roman"/>
          <w:sz w:val="24"/>
          <w:szCs w:val="24"/>
        </w:rPr>
        <w:footnoteReference w:id="29"/>
      </w:r>
      <w:r w:rsidRPr="00353F2F">
        <w:rPr>
          <w:rFonts w:ascii="Times New Roman" w:hAnsi="Times New Roman" w:cs="Times New Roman"/>
          <w:sz w:val="24"/>
          <w:szCs w:val="24"/>
        </w:rPr>
        <w:t xml:space="preserve"> This structure is complemented by a complex web of contracts: Engineering, Procurement and Construction (EPC) agreements, Concession agreements, Supply and Off</w:t>
      </w:r>
      <w:r w:rsidRPr="00353F2F">
        <w:rPr>
          <w:rFonts w:ascii="Times New Roman" w:hAnsi="Times New Roman" w:cs="Times New Roman"/>
          <w:sz w:val="24"/>
          <w:szCs w:val="24"/>
        </w:rPr>
        <w:noBreakHyphen/>
        <w:t>Take agreements, and Operation and Maintenance (O&amp;M) agreements, Power Purchase agreements, that collectively define the project’s economics, risk allocation, and governance mechanisms.</w:t>
      </w:r>
      <w:r w:rsidRPr="00353F2F">
        <w:rPr>
          <w:rStyle w:val="FootnoteReference"/>
          <w:rFonts w:ascii="Times New Roman" w:hAnsi="Times New Roman" w:cs="Times New Roman"/>
          <w:sz w:val="24"/>
          <w:szCs w:val="24"/>
        </w:rPr>
        <w:footnoteReference w:id="30"/>
      </w:r>
    </w:p>
    <w:p w14:paraId="60792F3E"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Distinctive characteristics of project finance transactions include;</w:t>
      </w:r>
    </w:p>
    <w:p w14:paraId="24164F57" w14:textId="77777777" w:rsidR="00897B51" w:rsidRPr="00353F2F" w:rsidRDefault="00897B51" w:rsidP="00353F2F">
      <w:pPr>
        <w:pStyle w:val="ListParagraph"/>
        <w:numPr>
          <w:ilvl w:val="0"/>
          <w:numId w:val="4"/>
        </w:numPr>
        <w:spacing w:before="160" w:line="480" w:lineRule="auto"/>
        <w:contextualSpacing w:val="0"/>
        <w:jc w:val="both"/>
        <w:rPr>
          <w:rFonts w:ascii="Times New Roman" w:hAnsi="Times New Roman" w:cs="Times New Roman"/>
          <w:sz w:val="24"/>
          <w:szCs w:val="24"/>
        </w:rPr>
      </w:pPr>
      <w:r w:rsidRPr="00353F2F">
        <w:rPr>
          <w:rFonts w:ascii="Times New Roman" w:hAnsi="Times New Roman" w:cs="Times New Roman"/>
          <w:sz w:val="24"/>
          <w:szCs w:val="24"/>
        </w:rPr>
        <w:lastRenderedPageBreak/>
        <w:t xml:space="preserve">the creation of a legally independent project entity (typically a Special Purpose Vehicle); </w:t>
      </w:r>
    </w:p>
    <w:p w14:paraId="06EE9314" w14:textId="77777777" w:rsidR="00897B51" w:rsidRPr="00353F2F" w:rsidRDefault="00897B51" w:rsidP="00353F2F">
      <w:pPr>
        <w:pStyle w:val="ListParagraph"/>
        <w:numPr>
          <w:ilvl w:val="0"/>
          <w:numId w:val="4"/>
        </w:numPr>
        <w:spacing w:before="160" w:line="480" w:lineRule="auto"/>
        <w:contextualSpacing w:val="0"/>
        <w:jc w:val="both"/>
        <w:rPr>
          <w:rFonts w:ascii="Times New Roman" w:hAnsi="Times New Roman" w:cs="Times New Roman"/>
          <w:sz w:val="24"/>
          <w:szCs w:val="24"/>
        </w:rPr>
      </w:pPr>
      <w:r w:rsidRPr="00353F2F">
        <w:rPr>
          <w:rFonts w:ascii="Times New Roman" w:hAnsi="Times New Roman" w:cs="Times New Roman"/>
          <w:sz w:val="24"/>
          <w:szCs w:val="24"/>
        </w:rPr>
        <w:t xml:space="preserve">the financing of the project primarily through debt, with equity contributed by the sponsors constituting a relatively modest proportion of the capital structure; </w:t>
      </w:r>
    </w:p>
    <w:p w14:paraId="098D0AE9" w14:textId="77777777" w:rsidR="00897B51" w:rsidRPr="00353F2F" w:rsidRDefault="00897B51" w:rsidP="00353F2F">
      <w:pPr>
        <w:pStyle w:val="ListParagraph"/>
        <w:numPr>
          <w:ilvl w:val="0"/>
          <w:numId w:val="4"/>
        </w:numPr>
        <w:spacing w:before="160" w:line="480" w:lineRule="auto"/>
        <w:contextualSpacing w:val="0"/>
        <w:jc w:val="both"/>
        <w:rPr>
          <w:rFonts w:ascii="Times New Roman" w:hAnsi="Times New Roman" w:cs="Times New Roman"/>
          <w:sz w:val="24"/>
          <w:szCs w:val="24"/>
        </w:rPr>
      </w:pPr>
      <w:r w:rsidRPr="00353F2F">
        <w:rPr>
          <w:rFonts w:ascii="Times New Roman" w:hAnsi="Times New Roman" w:cs="Times New Roman"/>
          <w:sz w:val="24"/>
          <w:szCs w:val="24"/>
        </w:rPr>
        <w:t xml:space="preserve">the reliance on project revenues as the primary source of debt service; and </w:t>
      </w:r>
    </w:p>
    <w:p w14:paraId="02E8394E" w14:textId="77777777" w:rsidR="00897B51" w:rsidRPr="00353F2F" w:rsidRDefault="00897B51" w:rsidP="00353F2F">
      <w:pPr>
        <w:pStyle w:val="ListParagraph"/>
        <w:numPr>
          <w:ilvl w:val="0"/>
          <w:numId w:val="4"/>
        </w:numPr>
        <w:spacing w:before="160" w:line="480" w:lineRule="auto"/>
        <w:contextualSpacing w:val="0"/>
        <w:jc w:val="both"/>
        <w:rPr>
          <w:rFonts w:ascii="Times New Roman" w:hAnsi="Times New Roman" w:cs="Times New Roman"/>
          <w:sz w:val="24"/>
          <w:szCs w:val="24"/>
        </w:rPr>
      </w:pPr>
      <w:r w:rsidRPr="00353F2F">
        <w:rPr>
          <w:rFonts w:ascii="Times New Roman" w:hAnsi="Times New Roman" w:cs="Times New Roman"/>
          <w:sz w:val="24"/>
          <w:szCs w:val="24"/>
        </w:rPr>
        <w:t>the crafting of an extensive contractual framework that allocates project risks among various parties including sponsors, lenders, off-takers, contractors, and government entities.</w:t>
      </w:r>
      <w:r w:rsidRPr="00353F2F">
        <w:rPr>
          <w:rStyle w:val="FootnoteReference"/>
          <w:rFonts w:ascii="Times New Roman" w:hAnsi="Times New Roman" w:cs="Times New Roman"/>
          <w:sz w:val="24"/>
          <w:szCs w:val="24"/>
        </w:rPr>
        <w:footnoteReference w:id="31"/>
      </w:r>
      <w:r w:rsidRPr="00353F2F">
        <w:rPr>
          <w:rFonts w:ascii="Times New Roman" w:hAnsi="Times New Roman" w:cs="Times New Roman"/>
          <w:sz w:val="24"/>
          <w:szCs w:val="24"/>
        </w:rPr>
        <w:t xml:space="preserve"> </w:t>
      </w:r>
    </w:p>
    <w:p w14:paraId="21EB22B4"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Nigeria's project finance landscape has been shaped primarily by the country's endowment with vast natural resources, particularly oil and gas, as well as by its enormous infrastructure deficit and the political imperatives of economic diversification. The Infrastructure Concession Regulatory Commission (Establishment) Act 2005 provided the foundational legal framework for Public-Private Partnerships and private sector-financed infrastructure projects, establishing the ICRC as the primary regulatory body for concession-based project finance transactions involving Federal Government assets.</w:t>
      </w:r>
      <w:r w:rsidRPr="00353F2F">
        <w:rPr>
          <w:rStyle w:val="FootnoteReference"/>
          <w:rFonts w:ascii="Times New Roman" w:hAnsi="Times New Roman" w:cs="Times New Roman"/>
          <w:sz w:val="24"/>
          <w:szCs w:val="24"/>
        </w:rPr>
        <w:footnoteReference w:id="32"/>
      </w:r>
    </w:p>
    <w:p w14:paraId="549F242A"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Similarly, the World Bank Group characterizes project finance as a critical instrument for bridging infrastructure financing gaps in developing economies, noting that its non-recourse structure enables governments to mobilize private capital for public infrastructure without incurring direct sovereign debt obligations.</w:t>
      </w:r>
      <w:r w:rsidRPr="00353F2F">
        <w:rPr>
          <w:rStyle w:val="FootnoteReference"/>
          <w:rFonts w:ascii="Times New Roman" w:hAnsi="Times New Roman" w:cs="Times New Roman"/>
          <w:sz w:val="24"/>
          <w:szCs w:val="24"/>
        </w:rPr>
        <w:footnoteReference w:id="33"/>
      </w:r>
      <w:r w:rsidRPr="00353F2F">
        <w:rPr>
          <w:rFonts w:ascii="Times New Roman" w:hAnsi="Times New Roman" w:cs="Times New Roman"/>
          <w:sz w:val="24"/>
          <w:szCs w:val="24"/>
        </w:rPr>
        <w:t xml:space="preserve"> CAMA 2020 provides the corporate law framework within which </w:t>
      </w:r>
      <w:r w:rsidRPr="00353F2F">
        <w:rPr>
          <w:rFonts w:ascii="Times New Roman" w:hAnsi="Times New Roman" w:cs="Times New Roman"/>
          <w:sz w:val="24"/>
          <w:szCs w:val="24"/>
        </w:rPr>
        <w:lastRenderedPageBreak/>
        <w:t>these SPVs are established and operated, including provisions on share capital, director appointments, and the keeping of statutory books and records.</w:t>
      </w:r>
      <w:r w:rsidRPr="00353F2F">
        <w:rPr>
          <w:rStyle w:val="FootnoteReference"/>
          <w:rFonts w:ascii="Times New Roman" w:hAnsi="Times New Roman" w:cs="Times New Roman"/>
          <w:sz w:val="24"/>
          <w:szCs w:val="24"/>
        </w:rPr>
        <w:footnoteReference w:id="34"/>
      </w:r>
      <w:r w:rsidRPr="00353F2F">
        <w:rPr>
          <w:rFonts w:ascii="Times New Roman" w:hAnsi="Times New Roman" w:cs="Times New Roman"/>
          <w:sz w:val="24"/>
          <w:szCs w:val="24"/>
        </w:rPr>
        <w:t xml:space="preserve"> </w:t>
      </w:r>
    </w:p>
    <w:p w14:paraId="783B48C1"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Therefore, project finance is understood as a structured financing technique that mobilizes debt capital for discrete, capital-intensive projects on the basis of projected cash flows and contractual risk allocation, with the legal, governance and risk management architecture of the project serving as the primary basis for lender confidence and bankability assessment.</w:t>
      </w:r>
      <w:r w:rsidRPr="00353F2F">
        <w:rPr>
          <w:rStyle w:val="FootnoteReference"/>
          <w:rFonts w:ascii="Times New Roman" w:hAnsi="Times New Roman" w:cs="Times New Roman"/>
          <w:sz w:val="24"/>
          <w:szCs w:val="24"/>
        </w:rPr>
        <w:footnoteReference w:id="35"/>
      </w:r>
    </w:p>
    <w:p w14:paraId="15630ABA" w14:textId="77777777" w:rsidR="00897B51" w:rsidRPr="00353F2F" w:rsidRDefault="00897B51" w:rsidP="00353F2F">
      <w:pPr>
        <w:pStyle w:val="Heading2"/>
        <w:spacing w:before="320" w:line="480" w:lineRule="auto"/>
        <w:rPr>
          <w:sz w:val="24"/>
          <w:szCs w:val="24"/>
        </w:rPr>
      </w:pPr>
      <w:r w:rsidRPr="00353F2F">
        <w:rPr>
          <w:sz w:val="24"/>
          <w:szCs w:val="24"/>
        </w:rPr>
        <w:t>2.1.3 Risk Allocation</w:t>
      </w:r>
    </w:p>
    <w:p w14:paraId="139F49BB"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Risk allocation is a foundational concept in project finance law and practice, referring to the process through which the various categories of risk inherent in a project are identified, assessed, and contractually assigned to the party best able to bear, manage, or mitigate each particular risk. The principled allocation of risk lies at the heart of every project finance transaction and constitutes the primary lens through which lenders, sponsors, and other project participants evaluate the viability and bankability of a proposed project. This principle states that risk should be allocated to the party who can best control or manage it, who can best bear the financial consequences of its occurrence, or for whom the risk represents a known and manageable element of their normal business.</w:t>
      </w:r>
      <w:r w:rsidRPr="00353F2F">
        <w:rPr>
          <w:rStyle w:val="FootnoteReference"/>
          <w:rFonts w:ascii="Times New Roman" w:hAnsi="Times New Roman" w:cs="Times New Roman"/>
          <w:sz w:val="24"/>
          <w:szCs w:val="24"/>
        </w:rPr>
        <w:footnoteReference w:id="36"/>
      </w:r>
      <w:r w:rsidRPr="00353F2F">
        <w:rPr>
          <w:rFonts w:ascii="Times New Roman" w:hAnsi="Times New Roman" w:cs="Times New Roman"/>
          <w:sz w:val="24"/>
          <w:szCs w:val="24"/>
        </w:rPr>
        <w:t xml:space="preserve"> In practice, risk allocation shapes the allocation of costs, delays, and potential losses, and directly affects the overall cost of capital and the project’s bankability.</w:t>
      </w:r>
      <w:r w:rsidRPr="00353F2F">
        <w:rPr>
          <w:rStyle w:val="FootnoteReference"/>
          <w:rFonts w:ascii="Times New Roman" w:hAnsi="Times New Roman" w:cs="Times New Roman"/>
          <w:sz w:val="24"/>
          <w:szCs w:val="24"/>
        </w:rPr>
        <w:footnoteReference w:id="37"/>
      </w:r>
    </w:p>
    <w:p w14:paraId="60DC3B56"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There are four broad identified categories of project finance risk that must be addressed in any comprehensive risk allocation framework and they include; (</w:t>
      </w:r>
      <w:proofErr w:type="spellStart"/>
      <w:r w:rsidRPr="00353F2F">
        <w:rPr>
          <w:rFonts w:ascii="Times New Roman" w:hAnsi="Times New Roman" w:cs="Times New Roman"/>
          <w:sz w:val="24"/>
          <w:szCs w:val="24"/>
        </w:rPr>
        <w:t>i</w:t>
      </w:r>
      <w:proofErr w:type="spellEnd"/>
      <w:r w:rsidRPr="00353F2F">
        <w:rPr>
          <w:rFonts w:ascii="Times New Roman" w:hAnsi="Times New Roman" w:cs="Times New Roman"/>
          <w:sz w:val="24"/>
          <w:szCs w:val="24"/>
        </w:rPr>
        <w:t>) development risk (the risk that the project will not be completed on time or within budget), (ii) performance risk (the risk that the completed project will not perform as designed), (iii) market risk (the risk that demand or pricing for the project's output will be insufficient to service debt), and political or regulatory risk (the risk of adverse government action affecting the project).</w:t>
      </w:r>
      <w:r w:rsidRPr="00353F2F">
        <w:rPr>
          <w:rStyle w:val="FootnoteReference"/>
          <w:rFonts w:ascii="Times New Roman" w:hAnsi="Times New Roman" w:cs="Times New Roman"/>
          <w:sz w:val="24"/>
          <w:szCs w:val="24"/>
        </w:rPr>
        <w:footnoteReference w:id="38"/>
      </w:r>
      <w:r w:rsidRPr="00353F2F">
        <w:rPr>
          <w:rFonts w:ascii="Times New Roman" w:hAnsi="Times New Roman" w:cs="Times New Roman"/>
          <w:sz w:val="24"/>
          <w:szCs w:val="24"/>
        </w:rPr>
        <w:t xml:space="preserve"> Likewise, modern project finance practice adds environmental and social risk, force majeure risk, interest rate and currency risk, and insurance risk, each of which requires careful contractual treatment in the project documentation suite.</w:t>
      </w:r>
    </w:p>
    <w:p w14:paraId="7BDD391E"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In the Nigerian legal context, the allocation of risk in project finance transactions is governed primarily by the common law of contract, as modified by sector-specific legislation and regulatory instruments.</w:t>
      </w:r>
      <w:r w:rsidRPr="00353F2F">
        <w:rPr>
          <w:rStyle w:val="FootnoteReference"/>
          <w:rFonts w:ascii="Times New Roman" w:hAnsi="Times New Roman" w:cs="Times New Roman"/>
          <w:sz w:val="24"/>
          <w:szCs w:val="24"/>
        </w:rPr>
        <w:footnoteReference w:id="39"/>
      </w:r>
      <w:r w:rsidRPr="00353F2F">
        <w:rPr>
          <w:rFonts w:ascii="Times New Roman" w:hAnsi="Times New Roman" w:cs="Times New Roman"/>
          <w:sz w:val="24"/>
          <w:szCs w:val="24"/>
        </w:rPr>
        <w:t xml:space="preserve"> Nigerian courts have generally upheld freely negotiated contractual risk allocation arrangements, consistent with the common law principle of freedom of contract, though this principle is subject to statutory exceptions in areas such as consumer protection, environmental </w:t>
      </w:r>
    </w:p>
    <w:p w14:paraId="70E51CCC"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Furthermore, International Federation of Consulting Engineers (FIDIC) contract conditions, widely used in Nigerian construction projects, provide a detailed framework for the allocation of construction-phase risks between the employer (typically the SPV) and the contractor, including provisions on force majeure, change in law, and employer's risk events.</w:t>
      </w:r>
      <w:r w:rsidRPr="00353F2F">
        <w:rPr>
          <w:rStyle w:val="FootnoteReference"/>
          <w:rFonts w:ascii="Times New Roman" w:hAnsi="Times New Roman" w:cs="Times New Roman"/>
          <w:sz w:val="24"/>
          <w:szCs w:val="24"/>
        </w:rPr>
        <w:footnoteReference w:id="40"/>
      </w:r>
      <w:r w:rsidRPr="00353F2F">
        <w:rPr>
          <w:rFonts w:ascii="Times New Roman" w:hAnsi="Times New Roman" w:cs="Times New Roman"/>
          <w:sz w:val="24"/>
          <w:szCs w:val="24"/>
        </w:rPr>
        <w:t xml:space="preserve"> The Federal Ministry of Finance's PPP Manual further provides guidance on the allocation of risk in concession-based </w:t>
      </w:r>
      <w:r w:rsidRPr="00353F2F">
        <w:rPr>
          <w:rFonts w:ascii="Times New Roman" w:hAnsi="Times New Roman" w:cs="Times New Roman"/>
          <w:sz w:val="24"/>
          <w:szCs w:val="24"/>
        </w:rPr>
        <w:lastRenderedPageBreak/>
        <w:t>project finance transactions, establishing a framework for the negotiation of implementation agreements and concession agreements between the government and private project sponsors.</w:t>
      </w:r>
      <w:r w:rsidRPr="00353F2F">
        <w:rPr>
          <w:rStyle w:val="FootnoteReference"/>
          <w:rFonts w:ascii="Times New Roman" w:hAnsi="Times New Roman" w:cs="Times New Roman"/>
          <w:sz w:val="24"/>
          <w:szCs w:val="24"/>
        </w:rPr>
        <w:footnoteReference w:id="41"/>
      </w:r>
      <w:r w:rsidRPr="00353F2F">
        <w:rPr>
          <w:rFonts w:ascii="Times New Roman" w:hAnsi="Times New Roman" w:cs="Times New Roman"/>
          <w:sz w:val="24"/>
          <w:szCs w:val="24"/>
        </w:rPr>
        <w:t xml:space="preserve"> </w:t>
      </w:r>
    </w:p>
    <w:p w14:paraId="208EA357" w14:textId="77777777" w:rsidR="00897B51" w:rsidRPr="00353F2F" w:rsidRDefault="00897B51" w:rsidP="00353F2F">
      <w:pPr>
        <w:spacing w:before="16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2.1.4 Risk Mitigation</w:t>
      </w:r>
    </w:p>
    <w:p w14:paraId="1B1D035F" w14:textId="77777777" w:rsidR="00897B51" w:rsidRPr="00353F2F" w:rsidRDefault="00897B51" w:rsidP="00353F2F">
      <w:pPr>
        <w:spacing w:before="160" w:line="480" w:lineRule="auto"/>
        <w:jc w:val="both"/>
        <w:rPr>
          <w:rFonts w:ascii="Times New Roman" w:hAnsi="Times New Roman" w:cs="Times New Roman"/>
          <w:b/>
          <w:bCs/>
          <w:sz w:val="24"/>
          <w:szCs w:val="24"/>
        </w:rPr>
      </w:pPr>
      <w:r w:rsidRPr="00353F2F">
        <w:rPr>
          <w:rFonts w:ascii="Times New Roman" w:hAnsi="Times New Roman" w:cs="Times New Roman"/>
          <w:sz w:val="24"/>
          <w:szCs w:val="24"/>
        </w:rPr>
        <w:t>Risk mitigation in project finance is the set of strategies, instruments, and governance mechanisms through which identified risks are reduced, managed, or transferred so as to improve the project’s likelihood of meeting its financial and operational objectives.</w:t>
      </w:r>
      <w:r w:rsidRPr="00353F2F">
        <w:rPr>
          <w:rStyle w:val="FootnoteReference"/>
          <w:rFonts w:ascii="Times New Roman" w:hAnsi="Times New Roman" w:cs="Times New Roman"/>
          <w:sz w:val="24"/>
          <w:szCs w:val="24"/>
        </w:rPr>
        <w:footnoteReference w:id="42"/>
      </w:r>
      <w:r w:rsidRPr="00353F2F">
        <w:rPr>
          <w:rFonts w:ascii="Times New Roman" w:hAnsi="Times New Roman" w:cs="Times New Roman"/>
          <w:sz w:val="24"/>
          <w:szCs w:val="24"/>
        </w:rPr>
        <w:t xml:space="preserve"> It goes beyond mere risk identification to encompass </w:t>
      </w:r>
      <w:r w:rsidRPr="00353F2F">
        <w:rPr>
          <w:rStyle w:val="Strong"/>
          <w:rFonts w:ascii="Times New Roman" w:hAnsi="Times New Roman" w:cs="Times New Roman"/>
          <w:sz w:val="24"/>
          <w:szCs w:val="24"/>
        </w:rPr>
        <w:t>preventive measures, control mechanisms, and contingency planning</w:t>
      </w:r>
      <w:r w:rsidRPr="00353F2F">
        <w:rPr>
          <w:rFonts w:ascii="Times New Roman" w:hAnsi="Times New Roman" w:cs="Times New Roman"/>
          <w:b/>
          <w:bCs/>
          <w:sz w:val="24"/>
          <w:szCs w:val="24"/>
        </w:rPr>
        <w:t xml:space="preserve"> </w:t>
      </w:r>
      <w:r w:rsidRPr="00353F2F">
        <w:rPr>
          <w:rFonts w:ascii="Times New Roman" w:hAnsi="Times New Roman" w:cs="Times New Roman"/>
          <w:sz w:val="24"/>
          <w:szCs w:val="24"/>
        </w:rPr>
        <w:t>aimed at minimizing the probability or impact of adverse events.</w:t>
      </w:r>
      <w:r w:rsidRPr="00353F2F">
        <w:rPr>
          <w:rStyle w:val="FootnoteReference"/>
          <w:rFonts w:ascii="Times New Roman" w:hAnsi="Times New Roman" w:cs="Times New Roman"/>
          <w:sz w:val="24"/>
          <w:szCs w:val="24"/>
        </w:rPr>
        <w:footnoteReference w:id="43"/>
      </w:r>
      <w:r w:rsidRPr="00353F2F">
        <w:rPr>
          <w:rFonts w:ascii="Times New Roman" w:hAnsi="Times New Roman" w:cs="Times New Roman"/>
          <w:sz w:val="24"/>
          <w:szCs w:val="24"/>
        </w:rPr>
        <w:t xml:space="preserve"> In this sense, risk mitigation is both a </w:t>
      </w:r>
      <w:r w:rsidRPr="00353F2F">
        <w:rPr>
          <w:rStyle w:val="Strong"/>
          <w:rFonts w:ascii="Times New Roman" w:hAnsi="Times New Roman" w:cs="Times New Roman"/>
          <w:sz w:val="24"/>
          <w:szCs w:val="24"/>
        </w:rPr>
        <w:t>technical and governance function</w:t>
      </w:r>
      <w:r w:rsidRPr="00353F2F">
        <w:rPr>
          <w:rFonts w:ascii="Times New Roman" w:hAnsi="Times New Roman" w:cs="Times New Roman"/>
          <w:sz w:val="24"/>
          <w:szCs w:val="24"/>
        </w:rPr>
        <w:t>, relying on the quality of contracts, management systems, and oversight structures to safeguard the project’s viability.</w:t>
      </w:r>
      <w:r w:rsidRPr="00353F2F">
        <w:rPr>
          <w:rStyle w:val="FootnoteReference"/>
          <w:rFonts w:ascii="Times New Roman" w:hAnsi="Times New Roman" w:cs="Times New Roman"/>
          <w:sz w:val="24"/>
          <w:szCs w:val="24"/>
        </w:rPr>
        <w:footnoteReference w:id="44"/>
      </w:r>
      <w:r w:rsidRPr="00353F2F">
        <w:rPr>
          <w:rFonts w:ascii="Times New Roman" w:hAnsi="Times New Roman" w:cs="Times New Roman"/>
          <w:sz w:val="24"/>
          <w:szCs w:val="24"/>
        </w:rPr>
        <w:t xml:space="preserve"> Common risk</w:t>
      </w:r>
      <w:r w:rsidRPr="00353F2F">
        <w:rPr>
          <w:rFonts w:ascii="Times New Roman" w:hAnsi="Times New Roman" w:cs="Times New Roman"/>
          <w:sz w:val="24"/>
          <w:szCs w:val="24"/>
        </w:rPr>
        <w:noBreakHyphen/>
        <w:t xml:space="preserve">mitigation tools in project finance include </w:t>
      </w:r>
      <w:r w:rsidRPr="00353F2F">
        <w:rPr>
          <w:rStyle w:val="Strong"/>
          <w:rFonts w:ascii="Times New Roman" w:hAnsi="Times New Roman" w:cs="Times New Roman"/>
          <w:sz w:val="24"/>
          <w:szCs w:val="24"/>
        </w:rPr>
        <w:t>insurance</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hedging instruments</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performance guarantees</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completion bonds</w:t>
      </w:r>
      <w:r w:rsidRPr="00353F2F">
        <w:rPr>
          <w:rFonts w:ascii="Times New Roman" w:hAnsi="Times New Roman" w:cs="Times New Roman"/>
          <w:b/>
          <w:bCs/>
          <w:sz w:val="24"/>
          <w:szCs w:val="24"/>
        </w:rPr>
        <w:t xml:space="preserve">, and sovereign guarantee, </w:t>
      </w:r>
      <w:r w:rsidRPr="00353F2F">
        <w:rPr>
          <w:rStyle w:val="Strong"/>
          <w:rFonts w:ascii="Times New Roman" w:hAnsi="Times New Roman" w:cs="Times New Roman"/>
          <w:sz w:val="24"/>
          <w:szCs w:val="24"/>
        </w:rPr>
        <w:t>equity support or parent guarantees</w:t>
      </w:r>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45"/>
      </w:r>
    </w:p>
    <w:p w14:paraId="431700EB"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While risk allocation determines who bears the financial consequences of a risk event, risk mitigation focuses on reducing the underlying risk exposure itself, whether through structural, contractual, financial or operational means. From a governance perspective, risk mitigation is closely linked to</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internal control systems</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board oversight</w:t>
      </w:r>
      <w:r w:rsidRPr="00353F2F">
        <w:rPr>
          <w:rFonts w:ascii="Times New Roman" w:hAnsi="Times New Roman" w:cs="Times New Roman"/>
          <w:b/>
          <w:bCs/>
          <w:sz w:val="24"/>
          <w:szCs w:val="24"/>
        </w:rPr>
        <w:t xml:space="preserve">, </w:t>
      </w:r>
      <w:r w:rsidRPr="00353F2F">
        <w:rPr>
          <w:rFonts w:ascii="Times New Roman" w:hAnsi="Times New Roman" w:cs="Times New Roman"/>
          <w:sz w:val="24"/>
          <w:szCs w:val="24"/>
        </w:rPr>
        <w:t>and</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compliance frameworks</w:t>
      </w:r>
      <w:r w:rsidRPr="00353F2F">
        <w:rPr>
          <w:rFonts w:ascii="Times New Roman" w:hAnsi="Times New Roman" w:cs="Times New Roman"/>
          <w:sz w:val="24"/>
          <w:szCs w:val="24"/>
        </w:rPr>
        <w:t xml:space="preserve"> that ensure continuous monitoring of risk exposures and prompt corrective action.</w:t>
      </w:r>
      <w:r w:rsidRPr="00353F2F">
        <w:rPr>
          <w:rStyle w:val="FootnoteReference"/>
          <w:rFonts w:ascii="Times New Roman" w:hAnsi="Times New Roman" w:cs="Times New Roman"/>
          <w:sz w:val="24"/>
          <w:szCs w:val="24"/>
        </w:rPr>
        <w:footnoteReference w:id="46"/>
      </w:r>
      <w:r w:rsidRPr="00353F2F">
        <w:rPr>
          <w:rFonts w:ascii="Times New Roman" w:hAnsi="Times New Roman" w:cs="Times New Roman"/>
          <w:sz w:val="24"/>
          <w:szCs w:val="24"/>
        </w:rPr>
        <w:t xml:space="preserve"> In Nigerian project </w:t>
      </w:r>
      <w:r w:rsidRPr="00353F2F">
        <w:rPr>
          <w:rFonts w:ascii="Times New Roman" w:hAnsi="Times New Roman" w:cs="Times New Roman"/>
          <w:sz w:val="24"/>
          <w:szCs w:val="24"/>
        </w:rPr>
        <w:lastRenderedPageBreak/>
        <w:t>finance, where infrastructure projects are exposed to political, regulatory, and currency risks, robust risk</w:t>
      </w:r>
      <w:r w:rsidRPr="00353F2F">
        <w:rPr>
          <w:rFonts w:ascii="Times New Roman" w:hAnsi="Times New Roman" w:cs="Times New Roman"/>
          <w:sz w:val="24"/>
          <w:szCs w:val="24"/>
        </w:rPr>
        <w:noBreakHyphen/>
        <w:t>mitigation mechanisms are indispensable.</w:t>
      </w:r>
      <w:r w:rsidRPr="00353F2F">
        <w:rPr>
          <w:rStyle w:val="FootnoteReference"/>
          <w:rFonts w:ascii="Times New Roman" w:hAnsi="Times New Roman" w:cs="Times New Roman"/>
          <w:sz w:val="24"/>
          <w:szCs w:val="24"/>
        </w:rPr>
        <w:footnoteReference w:id="47"/>
      </w:r>
      <w:r w:rsidRPr="00353F2F">
        <w:rPr>
          <w:rFonts w:ascii="Times New Roman" w:hAnsi="Times New Roman" w:cs="Times New Roman"/>
          <w:sz w:val="24"/>
          <w:szCs w:val="24"/>
        </w:rPr>
        <w:t xml:space="preserve"> For example, offtake agreements with sovereign entities, political</w:t>
      </w:r>
      <w:r w:rsidRPr="00353F2F">
        <w:rPr>
          <w:rFonts w:ascii="Times New Roman" w:hAnsi="Times New Roman" w:cs="Times New Roman"/>
          <w:sz w:val="24"/>
          <w:szCs w:val="24"/>
        </w:rPr>
        <w:noBreakHyphen/>
        <w:t>risk insurance, and structured currency</w:t>
      </w:r>
      <w:r w:rsidRPr="00353F2F">
        <w:rPr>
          <w:rFonts w:ascii="Times New Roman" w:hAnsi="Times New Roman" w:cs="Times New Roman"/>
          <w:sz w:val="24"/>
          <w:szCs w:val="24"/>
        </w:rPr>
        <w:noBreakHyphen/>
        <w:t>hedging arrangements can collectively reduce uncertainty and enhance investor confidence.</w:t>
      </w:r>
      <w:r w:rsidRPr="00353F2F">
        <w:rPr>
          <w:rStyle w:val="FootnoteReference"/>
          <w:rFonts w:ascii="Times New Roman" w:hAnsi="Times New Roman" w:cs="Times New Roman"/>
          <w:sz w:val="24"/>
          <w:szCs w:val="24"/>
        </w:rPr>
        <w:footnoteReference w:id="48"/>
      </w:r>
    </w:p>
    <w:p w14:paraId="648B140E"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Conceptually, therefore, risk mitigation can be understood as th</w:t>
      </w:r>
      <w:r w:rsidRPr="00353F2F">
        <w:rPr>
          <w:rFonts w:ascii="Times New Roman" w:hAnsi="Times New Roman" w:cs="Times New Roman"/>
          <w:b/>
          <w:bCs/>
          <w:sz w:val="24"/>
          <w:szCs w:val="24"/>
        </w:rPr>
        <w:t xml:space="preserve">e </w:t>
      </w:r>
      <w:r w:rsidRPr="00353F2F">
        <w:rPr>
          <w:rStyle w:val="Strong"/>
          <w:rFonts w:ascii="Times New Roman" w:hAnsi="Times New Roman" w:cs="Times New Roman"/>
          <w:b w:val="0"/>
          <w:bCs w:val="0"/>
          <w:sz w:val="24"/>
          <w:szCs w:val="24"/>
        </w:rPr>
        <w:t>deliberate integration of financial instruments, contractual safeguards, and governance processes</w:t>
      </w:r>
      <w:r w:rsidRPr="00353F2F">
        <w:rPr>
          <w:rFonts w:ascii="Times New Roman" w:hAnsi="Times New Roman" w:cs="Times New Roman"/>
          <w:sz w:val="24"/>
          <w:szCs w:val="24"/>
        </w:rPr>
        <w:t xml:space="preserve"> aimed at lowering the effective risk profile of a project and aligning it with the risk</w:t>
      </w:r>
      <w:r w:rsidRPr="00353F2F">
        <w:rPr>
          <w:rFonts w:ascii="Times New Roman" w:hAnsi="Times New Roman" w:cs="Times New Roman"/>
          <w:sz w:val="24"/>
          <w:szCs w:val="24"/>
        </w:rPr>
        <w:noBreakHyphen/>
        <w:t>return expectations of financiers.</w:t>
      </w:r>
      <w:r w:rsidRPr="00353F2F">
        <w:rPr>
          <w:rStyle w:val="FootnoteReference"/>
          <w:rFonts w:ascii="Times New Roman" w:hAnsi="Times New Roman" w:cs="Times New Roman"/>
          <w:sz w:val="24"/>
          <w:szCs w:val="24"/>
        </w:rPr>
        <w:footnoteReference w:id="49"/>
      </w:r>
    </w:p>
    <w:p w14:paraId="468D5160" w14:textId="77777777" w:rsidR="00897B51" w:rsidRPr="00353F2F" w:rsidRDefault="00897B51" w:rsidP="00353F2F">
      <w:pPr>
        <w:pStyle w:val="Heading2"/>
        <w:spacing w:before="320" w:line="480" w:lineRule="auto"/>
        <w:rPr>
          <w:sz w:val="24"/>
          <w:szCs w:val="24"/>
        </w:rPr>
      </w:pPr>
      <w:r w:rsidRPr="00353F2F">
        <w:rPr>
          <w:sz w:val="24"/>
          <w:szCs w:val="24"/>
        </w:rPr>
        <w:t>2.1.5 Compliance</w:t>
      </w:r>
    </w:p>
    <w:p w14:paraId="3677A61E" w14:textId="77777777" w:rsidR="00897B51" w:rsidRPr="00353F2F" w:rsidRDefault="00897B51" w:rsidP="00353F2F">
      <w:pPr>
        <w:pStyle w:val="Heading2"/>
        <w:spacing w:before="0" w:line="480" w:lineRule="auto"/>
        <w:jc w:val="both"/>
        <w:rPr>
          <w:b w:val="0"/>
          <w:bCs w:val="0"/>
          <w:sz w:val="24"/>
          <w:szCs w:val="24"/>
        </w:rPr>
      </w:pPr>
      <w:r w:rsidRPr="00353F2F">
        <w:rPr>
          <w:b w:val="0"/>
          <w:bCs w:val="0"/>
          <w:sz w:val="24"/>
          <w:szCs w:val="24"/>
        </w:rPr>
        <w:t xml:space="preserve">Compliance, in the corporate and regulatory context, refers to the adherence by an organization and its officers to the body of laws, regulations, codes, standards, and internal policies applicable to its activities and operations. refers to the adherence by project sponsors, SPVs, and contractors to </w:t>
      </w:r>
      <w:r w:rsidRPr="00353F2F">
        <w:rPr>
          <w:rStyle w:val="Strong"/>
          <w:sz w:val="24"/>
          <w:szCs w:val="24"/>
        </w:rPr>
        <w:t>legal, regulatory, contractual, and internal policy requirements</w:t>
      </w:r>
      <w:r w:rsidRPr="00353F2F">
        <w:rPr>
          <w:b w:val="0"/>
          <w:bCs w:val="0"/>
          <w:sz w:val="24"/>
          <w:szCs w:val="24"/>
        </w:rPr>
        <w:t xml:space="preserve"> governing the design, implementation, and operation of the project.</w:t>
      </w:r>
      <w:r w:rsidRPr="00353F2F">
        <w:rPr>
          <w:rStyle w:val="FootnoteReference"/>
          <w:b w:val="0"/>
          <w:bCs w:val="0"/>
          <w:sz w:val="24"/>
          <w:szCs w:val="24"/>
        </w:rPr>
        <w:footnoteReference w:id="50"/>
      </w:r>
      <w:r w:rsidRPr="00353F2F">
        <w:rPr>
          <w:b w:val="0"/>
          <w:bCs w:val="0"/>
          <w:sz w:val="24"/>
          <w:szCs w:val="24"/>
        </w:rPr>
        <w:t xml:space="preserve"> This includes conformity with national laws (such as company law, environmental regulations, and tax statutes), sector</w:t>
      </w:r>
      <w:r w:rsidRPr="00353F2F">
        <w:rPr>
          <w:b w:val="0"/>
          <w:bCs w:val="0"/>
          <w:sz w:val="24"/>
          <w:szCs w:val="24"/>
        </w:rPr>
        <w:noBreakHyphen/>
        <w:t>specific regulations (for example, power</w:t>
      </w:r>
      <w:r w:rsidRPr="00353F2F">
        <w:rPr>
          <w:b w:val="0"/>
          <w:bCs w:val="0"/>
          <w:sz w:val="24"/>
          <w:szCs w:val="24"/>
        </w:rPr>
        <w:noBreakHyphen/>
        <w:t>sector or PPP regulations), and international standards (such as environmental, social, and governance (ESG) guidelines).</w:t>
      </w:r>
      <w:r w:rsidRPr="00353F2F">
        <w:rPr>
          <w:rStyle w:val="FootnoteReference"/>
          <w:b w:val="0"/>
          <w:bCs w:val="0"/>
          <w:sz w:val="24"/>
          <w:szCs w:val="24"/>
        </w:rPr>
        <w:footnoteReference w:id="51"/>
      </w:r>
      <w:r w:rsidRPr="00353F2F">
        <w:rPr>
          <w:b w:val="0"/>
          <w:bCs w:val="0"/>
          <w:sz w:val="24"/>
          <w:szCs w:val="24"/>
        </w:rPr>
        <w:t xml:space="preserve"> Failure to comply can trigger sanctions, contract </w:t>
      </w:r>
      <w:r w:rsidRPr="00353F2F">
        <w:rPr>
          <w:b w:val="0"/>
          <w:bCs w:val="0"/>
          <w:sz w:val="24"/>
          <w:szCs w:val="24"/>
        </w:rPr>
        <w:lastRenderedPageBreak/>
        <w:t>termination, reputational damage, or loss of financing, making compliance a core element of risk management.⁵⁰</w:t>
      </w:r>
    </w:p>
    <w:p w14:paraId="272CA95D" w14:textId="77777777" w:rsidR="00897B51" w:rsidRPr="00353F2F" w:rsidRDefault="00897B51" w:rsidP="00353F2F">
      <w:pPr>
        <w:pStyle w:val="Heading2"/>
        <w:spacing w:before="0" w:line="480" w:lineRule="auto"/>
        <w:jc w:val="both"/>
        <w:rPr>
          <w:b w:val="0"/>
          <w:bCs w:val="0"/>
          <w:sz w:val="24"/>
          <w:szCs w:val="24"/>
        </w:rPr>
      </w:pPr>
      <w:r w:rsidRPr="00353F2F">
        <w:rPr>
          <w:b w:val="0"/>
          <w:bCs w:val="0"/>
          <w:sz w:val="24"/>
          <w:szCs w:val="24"/>
        </w:rPr>
        <w:t>Conceptually, compliance operates through three interrelated dimensions, namely,</w:t>
      </w:r>
      <w:r w:rsidRPr="00353F2F">
        <w:rPr>
          <w:sz w:val="24"/>
          <w:szCs w:val="24"/>
        </w:rPr>
        <w:t xml:space="preserve"> </w:t>
      </w:r>
      <w:r w:rsidRPr="00353F2F">
        <w:rPr>
          <w:rStyle w:val="Strong"/>
          <w:sz w:val="24"/>
          <w:szCs w:val="24"/>
        </w:rPr>
        <w:t>regulatory compliance</w:t>
      </w:r>
      <w:r w:rsidRPr="00353F2F">
        <w:rPr>
          <w:sz w:val="24"/>
          <w:szCs w:val="24"/>
        </w:rPr>
        <w:t xml:space="preserve">, </w:t>
      </w:r>
      <w:r w:rsidRPr="00353F2F">
        <w:rPr>
          <w:rStyle w:val="Strong"/>
          <w:sz w:val="24"/>
          <w:szCs w:val="24"/>
        </w:rPr>
        <w:t>contractual compliance</w:t>
      </w:r>
      <w:r w:rsidRPr="00353F2F">
        <w:rPr>
          <w:sz w:val="24"/>
          <w:szCs w:val="24"/>
        </w:rPr>
        <w:t xml:space="preserve">, </w:t>
      </w:r>
      <w:r w:rsidRPr="00353F2F">
        <w:rPr>
          <w:b w:val="0"/>
          <w:bCs w:val="0"/>
          <w:sz w:val="24"/>
          <w:szCs w:val="24"/>
        </w:rPr>
        <w:t>and</w:t>
      </w:r>
      <w:r w:rsidRPr="00353F2F">
        <w:rPr>
          <w:sz w:val="24"/>
          <w:szCs w:val="24"/>
        </w:rPr>
        <w:t xml:space="preserve"> </w:t>
      </w:r>
      <w:r w:rsidRPr="00353F2F">
        <w:rPr>
          <w:rStyle w:val="Strong"/>
          <w:sz w:val="24"/>
          <w:szCs w:val="24"/>
        </w:rPr>
        <w:t>ethical or governance</w:t>
      </w:r>
      <w:r w:rsidRPr="00353F2F">
        <w:rPr>
          <w:rStyle w:val="Strong"/>
          <w:sz w:val="24"/>
          <w:szCs w:val="24"/>
        </w:rPr>
        <w:noBreakHyphen/>
        <w:t>based compliance</w:t>
      </w:r>
      <w:r w:rsidRPr="00353F2F">
        <w:rPr>
          <w:sz w:val="24"/>
          <w:szCs w:val="24"/>
        </w:rPr>
        <w:t>.</w:t>
      </w:r>
      <w:r w:rsidRPr="00353F2F">
        <w:rPr>
          <w:rStyle w:val="FootnoteReference"/>
          <w:sz w:val="24"/>
          <w:szCs w:val="24"/>
        </w:rPr>
        <w:footnoteReference w:id="52"/>
      </w:r>
      <w:r w:rsidRPr="00353F2F">
        <w:rPr>
          <w:sz w:val="24"/>
          <w:szCs w:val="24"/>
        </w:rPr>
        <w:t xml:space="preserve"> </w:t>
      </w:r>
      <w:r w:rsidRPr="00353F2F">
        <w:rPr>
          <w:b w:val="0"/>
          <w:bCs w:val="0"/>
          <w:sz w:val="24"/>
          <w:szCs w:val="24"/>
        </w:rPr>
        <w:t>Regulatory compliance ensures that the project satisfies statutory obligations such as licensing, environmental</w:t>
      </w:r>
      <w:r w:rsidRPr="00353F2F">
        <w:rPr>
          <w:b w:val="0"/>
          <w:bCs w:val="0"/>
          <w:sz w:val="24"/>
          <w:szCs w:val="24"/>
        </w:rPr>
        <w:noBreakHyphen/>
        <w:t>impact</w:t>
      </w:r>
      <w:r w:rsidRPr="00353F2F">
        <w:rPr>
          <w:sz w:val="24"/>
          <w:szCs w:val="24"/>
        </w:rPr>
        <w:t xml:space="preserve"> </w:t>
      </w:r>
      <w:r w:rsidRPr="00353F2F">
        <w:rPr>
          <w:b w:val="0"/>
          <w:bCs w:val="0"/>
          <w:sz w:val="24"/>
          <w:szCs w:val="24"/>
        </w:rPr>
        <w:t>assessments, and</w:t>
      </w:r>
      <w:r w:rsidRPr="00353F2F">
        <w:rPr>
          <w:sz w:val="24"/>
          <w:szCs w:val="24"/>
        </w:rPr>
        <w:t xml:space="preserve"> </w:t>
      </w:r>
      <w:r w:rsidRPr="00353F2F">
        <w:rPr>
          <w:b w:val="0"/>
          <w:bCs w:val="0"/>
          <w:sz w:val="24"/>
          <w:szCs w:val="24"/>
        </w:rPr>
        <w:t>reporting requirements.</w:t>
      </w:r>
      <w:r w:rsidRPr="00353F2F">
        <w:rPr>
          <w:rStyle w:val="FootnoteReference"/>
          <w:b w:val="0"/>
          <w:bCs w:val="0"/>
          <w:sz w:val="24"/>
          <w:szCs w:val="24"/>
        </w:rPr>
        <w:footnoteReference w:id="53"/>
      </w:r>
      <w:r w:rsidRPr="00353F2F">
        <w:rPr>
          <w:b w:val="0"/>
          <w:bCs w:val="0"/>
          <w:sz w:val="24"/>
          <w:szCs w:val="24"/>
        </w:rPr>
        <w:t xml:space="preserve"> Contractual compliance guarantees that all parties honor the terms of construction, operation, and financing agreements, including performance standards, timelines, and payment obligations.</w:t>
      </w:r>
      <w:r w:rsidRPr="00353F2F">
        <w:rPr>
          <w:rStyle w:val="FootnoteReference"/>
          <w:b w:val="0"/>
          <w:bCs w:val="0"/>
          <w:sz w:val="24"/>
          <w:szCs w:val="24"/>
        </w:rPr>
        <w:footnoteReference w:id="54"/>
      </w:r>
      <w:r w:rsidRPr="00353F2F">
        <w:rPr>
          <w:b w:val="0"/>
          <w:bCs w:val="0"/>
          <w:sz w:val="24"/>
          <w:szCs w:val="24"/>
        </w:rPr>
        <w:t xml:space="preserve"> Ethical or governance</w:t>
      </w:r>
      <w:r w:rsidRPr="00353F2F">
        <w:rPr>
          <w:b w:val="0"/>
          <w:bCs w:val="0"/>
          <w:sz w:val="24"/>
          <w:szCs w:val="24"/>
        </w:rPr>
        <w:noBreakHyphen/>
        <w:t>based compliance embraces anti</w:t>
      </w:r>
      <w:r w:rsidRPr="00353F2F">
        <w:rPr>
          <w:b w:val="0"/>
          <w:bCs w:val="0"/>
          <w:sz w:val="24"/>
          <w:szCs w:val="24"/>
        </w:rPr>
        <w:noBreakHyphen/>
        <w:t>corruption measures, transparency norms, and stakeholder consultation, which are increasingly important in large</w:t>
      </w:r>
      <w:r w:rsidRPr="00353F2F">
        <w:rPr>
          <w:b w:val="0"/>
          <w:bCs w:val="0"/>
          <w:sz w:val="24"/>
          <w:szCs w:val="24"/>
        </w:rPr>
        <w:noBreakHyphen/>
        <w:t>scale infrastructure projects that involve public interest.</w:t>
      </w:r>
      <w:r w:rsidRPr="00353F2F">
        <w:rPr>
          <w:rStyle w:val="FootnoteReference"/>
          <w:b w:val="0"/>
          <w:bCs w:val="0"/>
          <w:sz w:val="24"/>
          <w:szCs w:val="24"/>
        </w:rPr>
        <w:footnoteReference w:id="55"/>
      </w:r>
    </w:p>
    <w:p w14:paraId="776A0DCD" w14:textId="77777777" w:rsidR="00897B51" w:rsidRPr="00353F2F" w:rsidRDefault="00897B51" w:rsidP="00353F2F">
      <w:pPr>
        <w:pStyle w:val="Heading2"/>
        <w:spacing w:before="0" w:line="480" w:lineRule="auto"/>
        <w:jc w:val="both"/>
        <w:rPr>
          <w:b w:val="0"/>
          <w:bCs w:val="0"/>
          <w:sz w:val="24"/>
          <w:szCs w:val="24"/>
        </w:rPr>
      </w:pPr>
      <w:r w:rsidRPr="00353F2F">
        <w:rPr>
          <w:b w:val="0"/>
          <w:bCs w:val="0"/>
          <w:sz w:val="24"/>
          <w:szCs w:val="24"/>
        </w:rPr>
        <w:t>Thus, compliance can be conceptualized as the</w:t>
      </w:r>
      <w:r w:rsidRPr="00353F2F">
        <w:rPr>
          <w:sz w:val="24"/>
          <w:szCs w:val="24"/>
        </w:rPr>
        <w:t xml:space="preserve"> </w:t>
      </w:r>
      <w:r w:rsidRPr="00353F2F">
        <w:rPr>
          <w:rStyle w:val="Strong"/>
          <w:sz w:val="24"/>
          <w:szCs w:val="24"/>
        </w:rPr>
        <w:t>institutionalized practice of aligning project behavior with external rules and internal governance standards</w:t>
      </w:r>
      <w:r w:rsidRPr="00353F2F">
        <w:rPr>
          <w:sz w:val="24"/>
          <w:szCs w:val="24"/>
        </w:rPr>
        <w:t xml:space="preserve">, </w:t>
      </w:r>
      <w:r w:rsidRPr="00353F2F">
        <w:rPr>
          <w:b w:val="0"/>
          <w:bCs w:val="0"/>
          <w:sz w:val="24"/>
          <w:szCs w:val="24"/>
        </w:rPr>
        <w:t>thereby reducing legal and reputational risk and reinforcing the project’s long</w:t>
      </w:r>
      <w:r w:rsidRPr="00353F2F">
        <w:rPr>
          <w:b w:val="0"/>
          <w:bCs w:val="0"/>
          <w:sz w:val="24"/>
          <w:szCs w:val="24"/>
        </w:rPr>
        <w:noBreakHyphen/>
        <w:t>term sustainability.</w:t>
      </w:r>
      <w:r w:rsidRPr="00353F2F">
        <w:rPr>
          <w:rStyle w:val="FootnoteReference"/>
          <w:b w:val="0"/>
          <w:bCs w:val="0"/>
          <w:sz w:val="24"/>
          <w:szCs w:val="24"/>
        </w:rPr>
        <w:footnoteReference w:id="56"/>
      </w:r>
    </w:p>
    <w:p w14:paraId="3AA07A71" w14:textId="77777777" w:rsidR="00897B51" w:rsidRPr="00353F2F" w:rsidRDefault="00897B51" w:rsidP="00353F2F">
      <w:pPr>
        <w:pStyle w:val="Heading2"/>
        <w:spacing w:before="320" w:line="480" w:lineRule="auto"/>
        <w:rPr>
          <w:sz w:val="24"/>
          <w:szCs w:val="24"/>
        </w:rPr>
      </w:pPr>
      <w:r w:rsidRPr="00353F2F">
        <w:rPr>
          <w:sz w:val="24"/>
          <w:szCs w:val="24"/>
        </w:rPr>
        <w:t>2.1.6 Bankability</w:t>
      </w:r>
    </w:p>
    <w:p w14:paraId="39861C64"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 xml:space="preserve">Bankability denotes the degree to which a project is considered </w:t>
      </w:r>
      <w:r w:rsidRPr="00353F2F">
        <w:rPr>
          <w:rStyle w:val="Strong"/>
          <w:rFonts w:ascii="Times New Roman" w:hAnsi="Times New Roman" w:cs="Times New Roman"/>
          <w:sz w:val="24"/>
          <w:szCs w:val="24"/>
        </w:rPr>
        <w:t>financeable or “lendable”</w:t>
      </w:r>
      <w:r w:rsidRPr="00353F2F">
        <w:rPr>
          <w:rFonts w:ascii="Times New Roman" w:hAnsi="Times New Roman" w:cs="Times New Roman"/>
          <w:sz w:val="24"/>
          <w:szCs w:val="24"/>
        </w:rPr>
        <w:t xml:space="preserve"> by banks, institutional investors, or multilateral financiers.</w:t>
      </w:r>
      <w:r w:rsidRPr="00353F2F">
        <w:rPr>
          <w:rStyle w:val="FootnoteReference"/>
          <w:rFonts w:ascii="Times New Roman" w:hAnsi="Times New Roman" w:cs="Times New Roman"/>
          <w:sz w:val="24"/>
          <w:szCs w:val="24"/>
        </w:rPr>
        <w:footnoteReference w:id="57"/>
      </w:r>
      <w:r w:rsidRPr="00353F2F">
        <w:rPr>
          <w:rFonts w:ascii="Times New Roman" w:hAnsi="Times New Roman" w:cs="Times New Roman"/>
          <w:sz w:val="24"/>
          <w:szCs w:val="24"/>
        </w:rPr>
        <w:t xml:space="preserve"> A project is said to be "bankable" when its overall risk profile, the robustness of its contractual framework, the quality of its sponsors and management, and the sufficiency of its projected cash flows are such that prudent lenders are willing to commit long-term debt capital on commercially reasonable terms. </w:t>
      </w:r>
    </w:p>
    <w:p w14:paraId="68FBEBE9"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Key prerequisites for bankability include </w:t>
      </w:r>
      <w:r w:rsidRPr="00353F2F">
        <w:rPr>
          <w:rStyle w:val="Strong"/>
          <w:rFonts w:ascii="Times New Roman" w:hAnsi="Times New Roman" w:cs="Times New Roman"/>
          <w:sz w:val="24"/>
          <w:szCs w:val="24"/>
        </w:rPr>
        <w:t>adequate revenue streams</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secure off</w:t>
      </w:r>
      <w:r w:rsidRPr="00353F2F">
        <w:rPr>
          <w:rStyle w:val="Strong"/>
          <w:rFonts w:ascii="Times New Roman" w:hAnsi="Times New Roman" w:cs="Times New Roman"/>
          <w:sz w:val="24"/>
          <w:szCs w:val="24"/>
        </w:rPr>
        <w:noBreakHyphen/>
        <w:t>take or demand</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strong sponsors</w:t>
      </w:r>
      <w:r w:rsidRPr="00353F2F">
        <w:rPr>
          <w:rFonts w:ascii="Times New Roman" w:hAnsi="Times New Roman" w:cs="Times New Roman"/>
          <w:b/>
          <w:bCs/>
          <w:sz w:val="24"/>
          <w:szCs w:val="24"/>
        </w:rPr>
        <w:t xml:space="preserve">, </w:t>
      </w:r>
      <w:r w:rsidRPr="00353F2F">
        <w:rPr>
          <w:rFonts w:ascii="Times New Roman" w:hAnsi="Times New Roman" w:cs="Times New Roman"/>
          <w:sz w:val="24"/>
          <w:szCs w:val="24"/>
        </w:rPr>
        <w:t>and</w:t>
      </w:r>
      <w:r w:rsidRPr="00353F2F">
        <w:rPr>
          <w:rFonts w:ascii="Times New Roman" w:hAnsi="Times New Roman" w:cs="Times New Roman"/>
          <w:b/>
          <w:bCs/>
          <w:sz w:val="24"/>
          <w:szCs w:val="24"/>
        </w:rPr>
        <w:t xml:space="preserve"> </w:t>
      </w:r>
      <w:r w:rsidRPr="00353F2F">
        <w:rPr>
          <w:rStyle w:val="Strong"/>
          <w:rFonts w:ascii="Times New Roman" w:hAnsi="Times New Roman" w:cs="Times New Roman"/>
          <w:sz w:val="24"/>
          <w:szCs w:val="24"/>
        </w:rPr>
        <w:t>effective risk allocation and mitigation</w:t>
      </w:r>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58"/>
      </w:r>
      <w:r w:rsidRPr="00353F2F">
        <w:rPr>
          <w:rFonts w:ascii="Times New Roman" w:hAnsi="Times New Roman" w:cs="Times New Roman"/>
          <w:sz w:val="24"/>
          <w:szCs w:val="24"/>
        </w:rPr>
        <w:t xml:space="preserve"> In Nigeria, where infrastructure gaps coexist with high perceived risk, bankability often depends on the presence of government support, stable regulatory frameworks, and transparent procurement and governance practices.⁶² Conceptually, bankability can be understood as the </w:t>
      </w:r>
      <w:r w:rsidRPr="00353F2F">
        <w:rPr>
          <w:rStyle w:val="Strong"/>
          <w:rFonts w:ascii="Times New Roman" w:hAnsi="Times New Roman" w:cs="Times New Roman"/>
          <w:sz w:val="24"/>
          <w:szCs w:val="24"/>
        </w:rPr>
        <w:t>convergence of financial viability, governance quality, and regulatory stability</w:t>
      </w:r>
      <w:r w:rsidRPr="00353F2F">
        <w:rPr>
          <w:rFonts w:ascii="Times New Roman" w:hAnsi="Times New Roman" w:cs="Times New Roman"/>
          <w:sz w:val="24"/>
          <w:szCs w:val="24"/>
        </w:rPr>
        <w:t xml:space="preserve"> that convinces financiers that the project is capable of repaying debt and generating an acceptable return.</w:t>
      </w:r>
      <w:r w:rsidRPr="00353F2F">
        <w:rPr>
          <w:rStyle w:val="FootnoteReference"/>
          <w:rFonts w:ascii="Times New Roman" w:hAnsi="Times New Roman" w:cs="Times New Roman"/>
          <w:sz w:val="24"/>
          <w:szCs w:val="24"/>
        </w:rPr>
        <w:footnoteReference w:id="59"/>
      </w:r>
    </w:p>
    <w:p w14:paraId="239643B4" w14:textId="77777777" w:rsidR="00897B51" w:rsidRPr="00353F2F" w:rsidRDefault="00897B51" w:rsidP="00353F2F">
      <w:pPr>
        <w:pStyle w:val="Heading2"/>
        <w:spacing w:before="320" w:line="480" w:lineRule="auto"/>
        <w:rPr>
          <w:sz w:val="24"/>
          <w:szCs w:val="24"/>
        </w:rPr>
      </w:pPr>
      <w:r w:rsidRPr="00353F2F">
        <w:rPr>
          <w:sz w:val="24"/>
          <w:szCs w:val="24"/>
        </w:rPr>
        <w:t>2.1.7 Financial Governance</w:t>
      </w:r>
    </w:p>
    <w:p w14:paraId="56B0261C"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Financial governance is a concept that encompasses the systems, processes, standards, and institutional arrangements through which the financial affairs of an organization are planned, executed, monitored, controlled, and reported. It refers simply to the subset of corporate governance that specifically governs </w:t>
      </w:r>
      <w:r w:rsidRPr="00353F2F">
        <w:rPr>
          <w:rStyle w:val="Strong"/>
          <w:rFonts w:ascii="Times New Roman" w:hAnsi="Times New Roman" w:cs="Times New Roman"/>
          <w:sz w:val="24"/>
          <w:szCs w:val="24"/>
        </w:rPr>
        <w:t>financial decision</w:t>
      </w:r>
      <w:r w:rsidRPr="00353F2F">
        <w:rPr>
          <w:rStyle w:val="Strong"/>
          <w:rFonts w:ascii="Times New Roman" w:hAnsi="Times New Roman" w:cs="Times New Roman"/>
          <w:sz w:val="24"/>
          <w:szCs w:val="24"/>
        </w:rPr>
        <w:noBreakHyphen/>
        <w:t>making, reporting, and control</w:t>
      </w:r>
      <w:r w:rsidRPr="00353F2F">
        <w:rPr>
          <w:rFonts w:ascii="Times New Roman" w:hAnsi="Times New Roman" w:cs="Times New Roman"/>
          <w:sz w:val="24"/>
          <w:szCs w:val="24"/>
        </w:rPr>
        <w:t xml:space="preserve"> within an organization. It encompasses the structures and processes that ensure the integrity of financial </w:t>
      </w:r>
      <w:r w:rsidRPr="00353F2F">
        <w:rPr>
          <w:rFonts w:ascii="Times New Roman" w:hAnsi="Times New Roman" w:cs="Times New Roman"/>
          <w:sz w:val="24"/>
          <w:szCs w:val="24"/>
        </w:rPr>
        <w:lastRenderedPageBreak/>
        <w:t>statements, the efficiency of capital allocation, and the protection of financial assets from misuse or fraud.</w:t>
      </w:r>
      <w:r w:rsidRPr="00353F2F">
        <w:rPr>
          <w:rStyle w:val="FootnoteReference"/>
          <w:rFonts w:ascii="Times New Roman" w:hAnsi="Times New Roman" w:cs="Times New Roman"/>
          <w:sz w:val="24"/>
          <w:szCs w:val="24"/>
        </w:rPr>
        <w:footnoteReference w:id="60"/>
      </w:r>
    </w:p>
    <w:p w14:paraId="3EB2D238"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Solomon</w:t>
      </w:r>
      <w:r w:rsidRPr="00353F2F">
        <w:rPr>
          <w:rStyle w:val="FootnoteReference"/>
          <w:rFonts w:ascii="Times New Roman" w:hAnsi="Times New Roman" w:cs="Times New Roman"/>
          <w:sz w:val="24"/>
          <w:szCs w:val="24"/>
        </w:rPr>
        <w:footnoteReference w:id="61"/>
      </w:r>
      <w:r w:rsidRPr="00353F2F">
        <w:rPr>
          <w:rFonts w:ascii="Times New Roman" w:hAnsi="Times New Roman" w:cs="Times New Roman"/>
          <w:sz w:val="24"/>
          <w:szCs w:val="24"/>
        </w:rPr>
        <w:t xml:space="preserve"> defines financial governance as a component of the broader corporate governance framework, focusing specifically on the mechanisms through which the integrity, transparency, and accuracy of financial information are ensured, and through which financial decisions are made and monitored in the interests of shareholders and other stakeholders.</w:t>
      </w:r>
      <w:r w:rsidRPr="00353F2F">
        <w:rPr>
          <w:rStyle w:val="FootnoteReference"/>
          <w:rFonts w:ascii="Times New Roman" w:hAnsi="Times New Roman" w:cs="Times New Roman"/>
          <w:sz w:val="24"/>
          <w:szCs w:val="24"/>
        </w:rPr>
        <w:footnoteReference w:id="62"/>
      </w:r>
      <w:r w:rsidRPr="00353F2F">
        <w:rPr>
          <w:rFonts w:ascii="Times New Roman" w:hAnsi="Times New Roman" w:cs="Times New Roman"/>
          <w:sz w:val="24"/>
          <w:szCs w:val="24"/>
        </w:rPr>
        <w:t xml:space="preserve"> In the project finance context, financial governance assumes heightened importance because lenders' entire credit analysis and monitoring framework rests on the reliability and transparency of financial information produced by the project company.</w:t>
      </w:r>
    </w:p>
    <w:p w14:paraId="6D378436"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International Monetary Fund's Fiscal Transparency Code identifies four pillars of fiscal governance; fiscal reporting (the timely and accurate reporting of the government's fiscal position), fiscal forecasting and budgeting (the formulation and presentation of fiscal plans in a transparent and credible manner), fiscal risk analysis and management (the identification and management of fiscal risks), and resource revenue management (the transparent and accountable management of revenues from natural resources).</w:t>
      </w:r>
      <w:r w:rsidRPr="00353F2F">
        <w:rPr>
          <w:rStyle w:val="FootnoteReference"/>
          <w:rFonts w:ascii="Times New Roman" w:hAnsi="Times New Roman" w:cs="Times New Roman"/>
          <w:sz w:val="24"/>
          <w:szCs w:val="24"/>
        </w:rPr>
        <w:footnoteReference w:id="63"/>
      </w:r>
      <w:r w:rsidRPr="00353F2F">
        <w:rPr>
          <w:rFonts w:ascii="Times New Roman" w:hAnsi="Times New Roman" w:cs="Times New Roman"/>
          <w:sz w:val="24"/>
          <w:szCs w:val="24"/>
        </w:rPr>
        <w:t xml:space="preserve"> While these pillars are articulated in the context of public finance, they are directly applicable to the financial governance of project companies in Nigeria's resource-intensive project finance market, where the quality of financial reporting and the management of revenue flows are critical determinants of lender confidence.</w:t>
      </w:r>
    </w:p>
    <w:p w14:paraId="05D7EB9B"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Financial Reporting Council of Nigeria Act 2011 established the Financial Reporting Council of Nigeria (FRCN) as the apex body responsible for developing and publishing accounting and financial reporting standards, actuarial standards, and auditing standards applicable to Nigerian entities.</w:t>
      </w:r>
      <w:r w:rsidRPr="00353F2F">
        <w:rPr>
          <w:rStyle w:val="FootnoteReference"/>
          <w:rFonts w:ascii="Times New Roman" w:hAnsi="Times New Roman" w:cs="Times New Roman"/>
          <w:sz w:val="24"/>
          <w:szCs w:val="24"/>
        </w:rPr>
        <w:footnoteReference w:id="64"/>
      </w:r>
      <w:r w:rsidRPr="00353F2F">
        <w:rPr>
          <w:rFonts w:ascii="Times New Roman" w:hAnsi="Times New Roman" w:cs="Times New Roman"/>
          <w:sz w:val="24"/>
          <w:szCs w:val="24"/>
        </w:rPr>
        <w:t xml:space="preserve"> The FRCN's Nigerian Code of Corporate Governance 2018 contains a dedicated section on financial reporting and disclosure, articulating principles governing the accuracy and timeliness of financial reports, the independence and competence of external auditors, and the responsibilities of audit committees for overseeing the financial reporting process.</w:t>
      </w:r>
      <w:r w:rsidRPr="00353F2F">
        <w:rPr>
          <w:rStyle w:val="FootnoteReference"/>
          <w:rFonts w:ascii="Times New Roman" w:hAnsi="Times New Roman" w:cs="Times New Roman"/>
          <w:sz w:val="24"/>
          <w:szCs w:val="24"/>
        </w:rPr>
        <w:footnoteReference w:id="65"/>
      </w:r>
    </w:p>
    <w:p w14:paraId="477640A5"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Therefore, financial governance is understood as the integrated system of financial reporting standards, internal control mechanisms, audit frameworks, disclosure requirements, and board-level oversight arrangements through which the financial integrity of project companies is ensured, and through which lenders and other stakeholders obtain the reliable financial information needed to monitor project performance, assess compliance with financing covenants, and protect their financial interests over the life of the project.</w:t>
      </w:r>
    </w:p>
    <w:p w14:paraId="1E9AE1A5" w14:textId="77777777" w:rsidR="00897B51" w:rsidRPr="00353F2F" w:rsidRDefault="00897B51" w:rsidP="00353F2F">
      <w:pPr>
        <w:spacing w:after="280" w:line="480" w:lineRule="auto"/>
        <w:rPr>
          <w:rFonts w:ascii="Times New Roman" w:hAnsi="Times New Roman" w:cs="Times New Roman"/>
          <w:sz w:val="24"/>
          <w:szCs w:val="24"/>
        </w:rPr>
      </w:pPr>
      <w:r w:rsidRPr="00353F2F">
        <w:rPr>
          <w:rFonts w:ascii="Times New Roman" w:hAnsi="Times New Roman" w:cs="Times New Roman"/>
          <w:b/>
          <w:bCs/>
          <w:sz w:val="24"/>
          <w:szCs w:val="24"/>
        </w:rPr>
        <w:t>2.2 Theoretical Framework</w:t>
      </w:r>
    </w:p>
    <w:p w14:paraId="36CF3967" w14:textId="77777777" w:rsidR="00897B51" w:rsidRPr="00353F2F" w:rsidRDefault="00897B51" w:rsidP="00353F2F">
      <w:pPr>
        <w:spacing w:before="160" w:after="2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theoretical framework of this study is anchored in three interrelated bodies of theory that, taken together, provide a coherent and comprehensive intellectual architecture for analyzing the role of corporate governance as a risk-mitigation tool in Nigerian project finance transactions. These theories are; Stakeholder Theory, Stewardship Theory, Transaction Cost Economics Theory, Institutional Theory, and Resource Dependence Theory.</w:t>
      </w:r>
    </w:p>
    <w:p w14:paraId="46DA02AD" w14:textId="77777777" w:rsidR="00897B51" w:rsidRPr="00353F2F" w:rsidRDefault="00897B51" w:rsidP="00353F2F">
      <w:pPr>
        <w:pStyle w:val="Heading2"/>
        <w:spacing w:before="360" w:after="220" w:line="480" w:lineRule="auto"/>
        <w:rPr>
          <w:sz w:val="24"/>
          <w:szCs w:val="24"/>
        </w:rPr>
      </w:pPr>
      <w:r w:rsidRPr="00353F2F">
        <w:rPr>
          <w:sz w:val="24"/>
          <w:szCs w:val="24"/>
        </w:rPr>
        <w:lastRenderedPageBreak/>
        <w:t>2.2.1 Stakeholder Theory</w:t>
      </w:r>
    </w:p>
    <w:p w14:paraId="34A59405"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Stakeholder theory also provides a framework for understanding corporate governance that extends beyond the bilateral principal-agent relationship of agency theory to encompass the full range of parties whose interests are affected by the activities of a project company and whose cooperation is necessary for project success. Formulated by Freeman</w:t>
      </w:r>
      <w:r w:rsidRPr="00353F2F">
        <w:rPr>
          <w:rStyle w:val="FootnoteReference"/>
          <w:rFonts w:ascii="Times New Roman" w:hAnsi="Times New Roman" w:cs="Times New Roman"/>
          <w:sz w:val="24"/>
          <w:szCs w:val="24"/>
        </w:rPr>
        <w:footnoteReference w:id="66"/>
      </w:r>
      <w:r w:rsidRPr="00353F2F">
        <w:rPr>
          <w:rFonts w:ascii="Times New Roman" w:hAnsi="Times New Roman" w:cs="Times New Roman"/>
          <w:sz w:val="24"/>
          <w:szCs w:val="24"/>
        </w:rPr>
        <w:t xml:space="preserve"> in his landmark work on strategic management, stakeholder theory proposes that organizations must identify, engage, and balance the interests of all parties that have a stake in the organization's activities, including not only shareholders and creditors but also employees, suppliers, customers, host communities, regulators, and the natural environment.</w:t>
      </w:r>
    </w:p>
    <w:p w14:paraId="4F2C503E"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Mitchell, </w:t>
      </w:r>
      <w:proofErr w:type="spellStart"/>
      <w:r w:rsidRPr="00353F2F">
        <w:rPr>
          <w:rFonts w:ascii="Times New Roman" w:hAnsi="Times New Roman" w:cs="Times New Roman"/>
          <w:sz w:val="24"/>
          <w:szCs w:val="24"/>
        </w:rPr>
        <w:t>Agle</w:t>
      </w:r>
      <w:proofErr w:type="spellEnd"/>
      <w:r w:rsidRPr="00353F2F">
        <w:rPr>
          <w:rFonts w:ascii="Times New Roman" w:hAnsi="Times New Roman" w:cs="Times New Roman"/>
          <w:sz w:val="24"/>
          <w:szCs w:val="24"/>
        </w:rPr>
        <w:t xml:space="preserve"> and Wood</w:t>
      </w:r>
      <w:r w:rsidRPr="00353F2F">
        <w:rPr>
          <w:rStyle w:val="FootnoteReference"/>
          <w:rFonts w:ascii="Times New Roman" w:hAnsi="Times New Roman" w:cs="Times New Roman"/>
          <w:sz w:val="24"/>
          <w:szCs w:val="24"/>
        </w:rPr>
        <w:footnoteReference w:id="67"/>
      </w:r>
      <w:r w:rsidRPr="00353F2F">
        <w:rPr>
          <w:rFonts w:ascii="Times New Roman" w:hAnsi="Times New Roman" w:cs="Times New Roman"/>
          <w:sz w:val="24"/>
          <w:szCs w:val="24"/>
        </w:rPr>
        <w:t xml:space="preserve"> developed a theory of stakeholder salience that provides a rough framework for prioritizing stakeholder claims, arguing that the salience of a stakeholder's interests, that is, the degree to which managers give priority to competing stakeholder claims, is a function of the stakeholder's possession of power (the ability to influence the firm), legitimacy (the perception that the stakeholder's claims are warranted and appropriate), and urgency (the degree to which the stakeholder's claim calls for immediate attention).</w:t>
      </w:r>
      <w:r w:rsidRPr="00353F2F">
        <w:rPr>
          <w:rStyle w:val="FootnoteReference"/>
          <w:rFonts w:ascii="Times New Roman" w:hAnsi="Times New Roman" w:cs="Times New Roman"/>
          <w:sz w:val="24"/>
          <w:szCs w:val="24"/>
        </w:rPr>
        <w:footnoteReference w:id="68"/>
      </w:r>
      <w:r w:rsidRPr="00353F2F">
        <w:rPr>
          <w:rFonts w:ascii="Times New Roman" w:hAnsi="Times New Roman" w:cs="Times New Roman"/>
          <w:sz w:val="24"/>
          <w:szCs w:val="24"/>
        </w:rPr>
        <w:t xml:space="preserve"> This framework is particularly useful for analyzing the governance challenges of Nigerian project finance, where the relative salience of different stakeholder groups, including lenders, government entities, host communities, and environmental advocates, varies significantly across project types and contexts.</w:t>
      </w:r>
    </w:p>
    <w:p w14:paraId="720F3EDA" w14:textId="77777777" w:rsidR="00897B51" w:rsidRPr="00353F2F" w:rsidRDefault="00897B51" w:rsidP="00353F2F">
      <w:pPr>
        <w:spacing w:before="160" w:line="480" w:lineRule="auto"/>
        <w:jc w:val="both"/>
        <w:rPr>
          <w:rFonts w:ascii="Times New Roman" w:hAnsi="Times New Roman" w:cs="Times New Roman"/>
          <w:sz w:val="24"/>
          <w:szCs w:val="24"/>
        </w:rPr>
      </w:pPr>
      <w:proofErr w:type="spellStart"/>
      <w:r w:rsidRPr="00353F2F">
        <w:rPr>
          <w:rFonts w:ascii="Times New Roman" w:hAnsi="Times New Roman" w:cs="Times New Roman"/>
          <w:sz w:val="24"/>
          <w:szCs w:val="24"/>
        </w:rPr>
        <w:lastRenderedPageBreak/>
        <w:t>Delmon</w:t>
      </w:r>
      <w:proofErr w:type="spellEnd"/>
      <w:r w:rsidRPr="00353F2F">
        <w:rPr>
          <w:rStyle w:val="FootnoteReference"/>
          <w:rFonts w:ascii="Times New Roman" w:hAnsi="Times New Roman" w:cs="Times New Roman"/>
          <w:sz w:val="24"/>
          <w:szCs w:val="24"/>
        </w:rPr>
        <w:footnoteReference w:id="69"/>
      </w:r>
      <w:r w:rsidRPr="00353F2F">
        <w:rPr>
          <w:rFonts w:ascii="Times New Roman" w:hAnsi="Times New Roman" w:cs="Times New Roman"/>
          <w:sz w:val="24"/>
          <w:szCs w:val="24"/>
        </w:rPr>
        <w:t xml:space="preserve"> further identifies that management of stakeholder relationships as a critical dimension of project finance governance, arguing that projects that fail to adequately identify and engage their key stakeholders, particularly host communities and regulatory authorities, face elevated risks of project disruption, regulatory non-compliance, and reputational damage that directly threaten project bankability.</w:t>
      </w:r>
      <w:r w:rsidRPr="00353F2F">
        <w:rPr>
          <w:rStyle w:val="FootnoteReference"/>
          <w:rFonts w:ascii="Times New Roman" w:hAnsi="Times New Roman" w:cs="Times New Roman"/>
          <w:sz w:val="24"/>
          <w:szCs w:val="24"/>
        </w:rPr>
        <w:footnoteReference w:id="70"/>
      </w:r>
      <w:r w:rsidRPr="00353F2F">
        <w:rPr>
          <w:rFonts w:ascii="Times New Roman" w:hAnsi="Times New Roman" w:cs="Times New Roman"/>
          <w:sz w:val="24"/>
          <w:szCs w:val="24"/>
        </w:rPr>
        <w:t xml:space="preserve"> </w:t>
      </w:r>
    </w:p>
    <w:p w14:paraId="4DEB135A"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Petroleum Industry Act 2021, in its host community development provisions, represents a legislative operationalization of stakeholder theory, imposing mandatory obligations on oil and gas companies to establish host community development trusts, consult with affected communities, and direct a specified proportion of project revenues to community development purposes.</w:t>
      </w:r>
      <w:r w:rsidRPr="00353F2F">
        <w:rPr>
          <w:rStyle w:val="FootnoteReference"/>
          <w:rFonts w:ascii="Times New Roman" w:hAnsi="Times New Roman" w:cs="Times New Roman"/>
          <w:sz w:val="24"/>
          <w:szCs w:val="24"/>
        </w:rPr>
        <w:footnoteReference w:id="71"/>
      </w:r>
      <w:r w:rsidRPr="00353F2F">
        <w:rPr>
          <w:rFonts w:ascii="Times New Roman" w:hAnsi="Times New Roman" w:cs="Times New Roman"/>
          <w:sz w:val="24"/>
          <w:szCs w:val="24"/>
        </w:rPr>
        <w:t xml:space="preserve"> These legislative requirements transform stakeholder engagement from a discretionary governance best practice into a binding legal obligation, with non-compliance potentially triggering license revocation, civil liability, and reputational consequences that directly affect project bankability.</w:t>
      </w:r>
    </w:p>
    <w:p w14:paraId="4E523BBC"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Equator Principles similarly operationalize stakeholder theory within the project finance lending framework, requiring borrowers to conduct free, prior, and informed consultation with affected communities and to demonstrate that they have obtained broad community support for projects with potentially significant adverse social and environmental impacts.</w:t>
      </w:r>
      <w:r w:rsidRPr="00353F2F">
        <w:rPr>
          <w:rStyle w:val="FootnoteReference"/>
          <w:rFonts w:ascii="Times New Roman" w:hAnsi="Times New Roman" w:cs="Times New Roman"/>
          <w:sz w:val="24"/>
          <w:szCs w:val="24"/>
        </w:rPr>
        <w:footnoteReference w:id="72"/>
      </w:r>
      <w:r w:rsidRPr="00353F2F">
        <w:rPr>
          <w:rFonts w:ascii="Times New Roman" w:hAnsi="Times New Roman" w:cs="Times New Roman"/>
          <w:sz w:val="24"/>
          <w:szCs w:val="24"/>
        </w:rPr>
        <w:t xml:space="preserve"> The Nigerian Code of Corporate Governance 2018 gives further expression to stakeholder theory by requiring </w:t>
      </w:r>
      <w:r w:rsidRPr="00353F2F">
        <w:rPr>
          <w:rFonts w:ascii="Times New Roman" w:hAnsi="Times New Roman" w:cs="Times New Roman"/>
          <w:sz w:val="24"/>
          <w:szCs w:val="24"/>
        </w:rPr>
        <w:lastRenderedPageBreak/>
        <w:t>companies to develop and implement stakeholder engagement policies, identify material stakeholder groups, and report on their stakeholder engagement activities in their annual reports.</w:t>
      </w:r>
      <w:r w:rsidRPr="00353F2F">
        <w:rPr>
          <w:rStyle w:val="FootnoteReference"/>
          <w:rFonts w:ascii="Times New Roman" w:hAnsi="Times New Roman" w:cs="Times New Roman"/>
          <w:sz w:val="24"/>
          <w:szCs w:val="24"/>
        </w:rPr>
        <w:footnoteReference w:id="73"/>
      </w:r>
    </w:p>
    <w:p w14:paraId="43CA858C"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Afolabi</w:t>
      </w:r>
      <w:r w:rsidRPr="00353F2F">
        <w:rPr>
          <w:rStyle w:val="FootnoteReference"/>
          <w:rFonts w:ascii="Times New Roman" w:hAnsi="Times New Roman" w:cs="Times New Roman"/>
          <w:sz w:val="24"/>
          <w:szCs w:val="24"/>
        </w:rPr>
        <w:footnoteReference w:id="74"/>
      </w:r>
      <w:r w:rsidRPr="00353F2F">
        <w:rPr>
          <w:rFonts w:ascii="Times New Roman" w:hAnsi="Times New Roman" w:cs="Times New Roman"/>
          <w:sz w:val="24"/>
          <w:szCs w:val="24"/>
        </w:rPr>
        <w:t xml:space="preserve"> argued, in the specific context of Nigerian infrastructure projects, that the failure to adequately address stakeholder interests, particularly the legitimate grievances of host communities and the concerns of environmental regulators, has been a primary cause of project delays, cost overruns, and lender disengagement in the Nigerian power and transportation sectors.</w:t>
      </w:r>
      <w:r w:rsidRPr="00353F2F">
        <w:rPr>
          <w:rStyle w:val="FootnoteReference"/>
          <w:rFonts w:ascii="Times New Roman" w:hAnsi="Times New Roman" w:cs="Times New Roman"/>
          <w:sz w:val="24"/>
          <w:szCs w:val="24"/>
        </w:rPr>
        <w:footnoteReference w:id="75"/>
      </w:r>
      <w:r w:rsidRPr="00353F2F">
        <w:rPr>
          <w:rFonts w:ascii="Times New Roman" w:hAnsi="Times New Roman" w:cs="Times New Roman"/>
          <w:sz w:val="24"/>
          <w:szCs w:val="24"/>
        </w:rPr>
        <w:t xml:space="preserve"> The IFC's Performance Standards require borrowers to assess the social and economic impacts of their projects on affected communities and to implement grievance mechanisms that provide affected stakeholders with accessible channels for raising concerns and seeking remediation.</w:t>
      </w:r>
      <w:r w:rsidRPr="00353F2F">
        <w:rPr>
          <w:rStyle w:val="FootnoteReference"/>
          <w:rFonts w:ascii="Times New Roman" w:hAnsi="Times New Roman" w:cs="Times New Roman"/>
          <w:sz w:val="24"/>
          <w:szCs w:val="24"/>
        </w:rPr>
        <w:footnoteReference w:id="76"/>
      </w:r>
      <w:r w:rsidRPr="00353F2F">
        <w:rPr>
          <w:rFonts w:ascii="Times New Roman" w:hAnsi="Times New Roman" w:cs="Times New Roman"/>
          <w:sz w:val="24"/>
          <w:szCs w:val="24"/>
        </w:rPr>
        <w:t xml:space="preserve"> The ICRC Act 2005 also requires concessionaire companies to make provision for community consultation and benefit-sharing in their concession agreements, reflecting the legislative recognition of stakeholder theory's prescriptions.</w:t>
      </w:r>
      <w:r w:rsidRPr="00353F2F">
        <w:rPr>
          <w:rStyle w:val="FootnoteReference"/>
          <w:rFonts w:ascii="Times New Roman" w:hAnsi="Times New Roman" w:cs="Times New Roman"/>
          <w:sz w:val="24"/>
          <w:szCs w:val="24"/>
        </w:rPr>
        <w:footnoteReference w:id="77"/>
      </w:r>
      <w:r w:rsidRPr="00353F2F">
        <w:rPr>
          <w:rFonts w:ascii="Times New Roman" w:hAnsi="Times New Roman" w:cs="Times New Roman"/>
          <w:sz w:val="24"/>
          <w:szCs w:val="24"/>
        </w:rPr>
        <w:t xml:space="preserve"> Stakeholder theory thus enriches the analytical framework of this thesis by directing attention to the governance mechanisms through which Nigerian project companies manage their multi-stakeholder obligations, and by providing a normative standard against which the adequacy of those mechanisms can be assessed.</w:t>
      </w:r>
    </w:p>
    <w:p w14:paraId="4B721510" w14:textId="77777777" w:rsidR="00897B51" w:rsidRPr="00353F2F" w:rsidRDefault="00897B51" w:rsidP="00353F2F">
      <w:pPr>
        <w:pStyle w:val="Heading2"/>
        <w:spacing w:before="360" w:after="220" w:line="480" w:lineRule="auto"/>
        <w:rPr>
          <w:sz w:val="24"/>
          <w:szCs w:val="24"/>
        </w:rPr>
      </w:pPr>
      <w:r w:rsidRPr="00353F2F">
        <w:rPr>
          <w:sz w:val="24"/>
          <w:szCs w:val="24"/>
        </w:rPr>
        <w:t>2.2.2 Transaction Cost Economics Theory</w:t>
      </w:r>
    </w:p>
    <w:p w14:paraId="729EF268"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Transaction Cost Economics (TCE), as developed primarily by Oliver Williamson, building on the foundational insights of Ronald Coase, provides a third theoretical pillar for this thesis by offering </w:t>
      </w:r>
      <w:r w:rsidRPr="00353F2F">
        <w:rPr>
          <w:rFonts w:ascii="Times New Roman" w:hAnsi="Times New Roman" w:cs="Times New Roman"/>
          <w:sz w:val="24"/>
          <w:szCs w:val="24"/>
        </w:rPr>
        <w:lastRenderedPageBreak/>
        <w:t>a systematic framework for analyzing the governance structures deployed in project finance as responses to the transaction costs generated by the contractual complexity, asset specificity, and uncertainty characteristic of large infrastructure projects. Williamson</w:t>
      </w:r>
      <w:r w:rsidRPr="00353F2F">
        <w:rPr>
          <w:rStyle w:val="FootnoteReference"/>
          <w:rFonts w:ascii="Times New Roman" w:hAnsi="Times New Roman" w:cs="Times New Roman"/>
          <w:sz w:val="24"/>
          <w:szCs w:val="24"/>
        </w:rPr>
        <w:footnoteReference w:id="78"/>
      </w:r>
      <w:r w:rsidRPr="00353F2F">
        <w:rPr>
          <w:rFonts w:ascii="Times New Roman" w:hAnsi="Times New Roman" w:cs="Times New Roman"/>
          <w:sz w:val="24"/>
          <w:szCs w:val="24"/>
        </w:rPr>
        <w:t xml:space="preserve"> defines transaction costs as the costs of planning, adapting, and monitoring task completion under alternative governance structures, arguing that the primary function of governance institutions, whether firms, contracts, or hybrid arrangements, is to </w:t>
      </w:r>
      <w:proofErr w:type="spellStart"/>
      <w:r w:rsidRPr="00353F2F">
        <w:rPr>
          <w:rFonts w:ascii="Times New Roman" w:hAnsi="Times New Roman" w:cs="Times New Roman"/>
          <w:sz w:val="24"/>
          <w:szCs w:val="24"/>
        </w:rPr>
        <w:t>economise</w:t>
      </w:r>
      <w:proofErr w:type="spellEnd"/>
      <w:r w:rsidRPr="00353F2F">
        <w:rPr>
          <w:rFonts w:ascii="Times New Roman" w:hAnsi="Times New Roman" w:cs="Times New Roman"/>
          <w:sz w:val="24"/>
          <w:szCs w:val="24"/>
        </w:rPr>
        <w:t xml:space="preserve"> on these transaction costs.</w:t>
      </w:r>
      <w:r w:rsidRPr="00353F2F">
        <w:rPr>
          <w:rStyle w:val="FootnoteReference"/>
          <w:rFonts w:ascii="Times New Roman" w:hAnsi="Times New Roman" w:cs="Times New Roman"/>
          <w:sz w:val="24"/>
          <w:szCs w:val="24"/>
        </w:rPr>
        <w:footnoteReference w:id="79"/>
      </w:r>
    </w:p>
    <w:p w14:paraId="56C679B0"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Coase's</w:t>
      </w:r>
      <w:r w:rsidRPr="00353F2F">
        <w:rPr>
          <w:rStyle w:val="FootnoteReference"/>
          <w:rFonts w:ascii="Times New Roman" w:hAnsi="Times New Roman" w:cs="Times New Roman"/>
          <w:sz w:val="24"/>
          <w:szCs w:val="24"/>
        </w:rPr>
        <w:footnoteReference w:id="80"/>
      </w:r>
      <w:r w:rsidRPr="00353F2F">
        <w:rPr>
          <w:rFonts w:ascii="Times New Roman" w:hAnsi="Times New Roman" w:cs="Times New Roman"/>
          <w:sz w:val="24"/>
          <w:szCs w:val="24"/>
        </w:rPr>
        <w:t xml:space="preserve"> foundational insight states that the firm exists as a governance structure precisely because markets entail transaction costs, that is, costs of price discovery, negotiation, contracting, and enforcement which provides the intellectual foundation for Williamson's more elaborated framework.</w:t>
      </w:r>
      <w:r w:rsidRPr="00353F2F">
        <w:rPr>
          <w:rStyle w:val="FootnoteReference"/>
          <w:rFonts w:ascii="Times New Roman" w:hAnsi="Times New Roman" w:cs="Times New Roman"/>
          <w:sz w:val="24"/>
          <w:szCs w:val="24"/>
        </w:rPr>
        <w:footnoteReference w:id="81"/>
      </w:r>
      <w:r w:rsidRPr="00353F2F">
        <w:rPr>
          <w:rFonts w:ascii="Times New Roman" w:hAnsi="Times New Roman" w:cs="Times New Roman"/>
          <w:sz w:val="24"/>
          <w:szCs w:val="24"/>
        </w:rPr>
        <w:t xml:space="preserve"> Williamson further identified three key dimensions along which transactions vary, and which determine the optimal governance structure and they are; asset specificity (the degree to which investments made in support of a transaction lose their value when redeployed to alternative uses), uncertainty (the degree to which the future environment affecting the transaction cannot be predicted or contracted upon), and frequency (the regularity with which similar transactions recur).</w:t>
      </w:r>
      <w:r w:rsidRPr="00353F2F">
        <w:rPr>
          <w:rStyle w:val="FootnoteReference"/>
          <w:rFonts w:ascii="Times New Roman" w:hAnsi="Times New Roman" w:cs="Times New Roman"/>
          <w:sz w:val="24"/>
          <w:szCs w:val="24"/>
        </w:rPr>
        <w:footnoteReference w:id="82"/>
      </w:r>
      <w:r w:rsidRPr="00353F2F">
        <w:rPr>
          <w:rFonts w:ascii="Times New Roman" w:hAnsi="Times New Roman" w:cs="Times New Roman"/>
          <w:sz w:val="24"/>
          <w:szCs w:val="24"/>
        </w:rPr>
        <w:t xml:space="preserve"> </w:t>
      </w:r>
    </w:p>
    <w:p w14:paraId="17374329"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Williamson further argues that the capital structure of a firm, including its debt-equity ratio, the maturity structure of its debt, and the priority of different creditor claims, functions as a governance </w:t>
      </w:r>
      <w:r w:rsidRPr="00353F2F">
        <w:rPr>
          <w:rFonts w:ascii="Times New Roman" w:hAnsi="Times New Roman" w:cs="Times New Roman"/>
          <w:sz w:val="24"/>
          <w:szCs w:val="24"/>
        </w:rPr>
        <w:lastRenderedPageBreak/>
        <w:t xml:space="preserve">mechanism that shapes managerial incentives and constrains managerial discretion in ways that </w:t>
      </w:r>
      <w:proofErr w:type="spellStart"/>
      <w:r w:rsidRPr="00353F2F">
        <w:rPr>
          <w:rFonts w:ascii="Times New Roman" w:hAnsi="Times New Roman" w:cs="Times New Roman"/>
          <w:sz w:val="24"/>
          <w:szCs w:val="24"/>
        </w:rPr>
        <w:t>economise</w:t>
      </w:r>
      <w:proofErr w:type="spellEnd"/>
      <w:r w:rsidRPr="00353F2F">
        <w:rPr>
          <w:rFonts w:ascii="Times New Roman" w:hAnsi="Times New Roman" w:cs="Times New Roman"/>
          <w:sz w:val="24"/>
          <w:szCs w:val="24"/>
        </w:rPr>
        <w:t xml:space="preserve"> on agency and transaction costs.</w:t>
      </w:r>
      <w:r w:rsidRPr="00353F2F">
        <w:rPr>
          <w:rStyle w:val="FootnoteReference"/>
          <w:rFonts w:ascii="Times New Roman" w:hAnsi="Times New Roman" w:cs="Times New Roman"/>
          <w:sz w:val="24"/>
          <w:szCs w:val="24"/>
        </w:rPr>
        <w:footnoteReference w:id="83"/>
      </w:r>
      <w:r w:rsidRPr="00353F2F">
        <w:rPr>
          <w:rFonts w:ascii="Times New Roman" w:hAnsi="Times New Roman" w:cs="Times New Roman"/>
          <w:sz w:val="24"/>
          <w:szCs w:val="24"/>
        </w:rPr>
        <w:t xml:space="preserve"> </w:t>
      </w:r>
    </w:p>
    <w:p w14:paraId="3E1836CA" w14:textId="77777777" w:rsidR="00897B51" w:rsidRPr="00353F2F" w:rsidRDefault="00897B51" w:rsidP="00353F2F">
      <w:pPr>
        <w:pStyle w:val="Heading2"/>
        <w:spacing w:before="360" w:after="220" w:line="480" w:lineRule="auto"/>
        <w:rPr>
          <w:sz w:val="24"/>
          <w:szCs w:val="24"/>
        </w:rPr>
      </w:pPr>
      <w:r w:rsidRPr="00353F2F">
        <w:rPr>
          <w:sz w:val="24"/>
          <w:szCs w:val="24"/>
        </w:rPr>
        <w:t>2.2.3 Institutional Theory</w:t>
      </w:r>
    </w:p>
    <w:p w14:paraId="41FAB461"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Institutional theory provides the third theoretical pillar of this thesis, offering a macro-level perspective on the governance of project finance that complements the firm-level focus of agency theory, the stakeholder theory, the stewardship theory, and the transaction cost economics theory. Institutional theory, as formulated by DiMaggio and Powell</w:t>
      </w:r>
      <w:r w:rsidRPr="00353F2F">
        <w:rPr>
          <w:rStyle w:val="FootnoteReference"/>
          <w:rFonts w:ascii="Times New Roman" w:hAnsi="Times New Roman" w:cs="Times New Roman"/>
          <w:sz w:val="24"/>
          <w:szCs w:val="24"/>
        </w:rPr>
        <w:footnoteReference w:id="84"/>
      </w:r>
      <w:r w:rsidRPr="00353F2F">
        <w:rPr>
          <w:rFonts w:ascii="Times New Roman" w:hAnsi="Times New Roman" w:cs="Times New Roman"/>
          <w:sz w:val="24"/>
          <w:szCs w:val="24"/>
        </w:rPr>
        <w:t xml:space="preserve"> in their influential analysis of organizational fields, states that organizations are shaped not merely by economic efficiency imperatives but by the institutional environments in which they operate, including the regulatory frameworks, professional norms, cultural expectations, and cognitive templates that constitute the environment of legitimate organizational behavior.</w:t>
      </w:r>
      <w:r w:rsidRPr="00353F2F">
        <w:rPr>
          <w:rStyle w:val="FootnoteReference"/>
          <w:rFonts w:ascii="Times New Roman" w:hAnsi="Times New Roman" w:cs="Times New Roman"/>
          <w:sz w:val="24"/>
          <w:szCs w:val="24"/>
        </w:rPr>
        <w:footnoteReference w:id="85"/>
      </w:r>
    </w:p>
    <w:p w14:paraId="49E6D4A4"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North,</w:t>
      </w:r>
      <w:r w:rsidRPr="00353F2F">
        <w:rPr>
          <w:rStyle w:val="FootnoteReference"/>
          <w:rFonts w:ascii="Times New Roman" w:hAnsi="Times New Roman" w:cs="Times New Roman"/>
          <w:sz w:val="24"/>
          <w:szCs w:val="24"/>
        </w:rPr>
        <w:footnoteReference w:id="86"/>
      </w:r>
      <w:r w:rsidRPr="00353F2F">
        <w:rPr>
          <w:rFonts w:ascii="Times New Roman" w:hAnsi="Times New Roman" w:cs="Times New Roman"/>
          <w:sz w:val="24"/>
          <w:szCs w:val="24"/>
        </w:rPr>
        <w:t xml:space="preserve"> in his foundational work on institutional economics, defines institutions as the rules of the game in a society, the humanly devised constraints that shape human interaction, including both formal constraints (such as constitutions, laws, and property rights) and informal constraints (such as conventions, codes of conduct, and norms of behavior).</w:t>
      </w:r>
      <w:r w:rsidRPr="00353F2F">
        <w:rPr>
          <w:rStyle w:val="FootnoteReference"/>
          <w:rFonts w:ascii="Times New Roman" w:hAnsi="Times New Roman" w:cs="Times New Roman"/>
          <w:sz w:val="24"/>
          <w:szCs w:val="24"/>
        </w:rPr>
        <w:footnoteReference w:id="87"/>
      </w:r>
      <w:r w:rsidRPr="00353F2F">
        <w:rPr>
          <w:rFonts w:ascii="Times New Roman" w:hAnsi="Times New Roman" w:cs="Times New Roman"/>
          <w:sz w:val="24"/>
          <w:szCs w:val="24"/>
        </w:rPr>
        <w:t xml:space="preserve"> Applied to the project finance context, North's framework directs attention to the full constellation of formal and informal institutional rules that govern the behavior of project participants, from the statutory provisions of company law, banking regulation, and sectoral legislation, to the informal norms of professional practice, </w:t>
      </w:r>
      <w:r w:rsidRPr="00353F2F">
        <w:rPr>
          <w:rFonts w:ascii="Times New Roman" w:hAnsi="Times New Roman" w:cs="Times New Roman"/>
          <w:sz w:val="24"/>
          <w:szCs w:val="24"/>
        </w:rPr>
        <w:lastRenderedPageBreak/>
        <w:t>market convention, and reputational constraint that shape governance behavior in the project finance market.</w:t>
      </w:r>
    </w:p>
    <w:p w14:paraId="37786488"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Scott</w:t>
      </w:r>
      <w:r w:rsidRPr="00353F2F">
        <w:rPr>
          <w:rStyle w:val="FootnoteReference"/>
          <w:rFonts w:ascii="Times New Roman" w:hAnsi="Times New Roman" w:cs="Times New Roman"/>
          <w:sz w:val="24"/>
          <w:szCs w:val="24"/>
        </w:rPr>
        <w:footnoteReference w:id="88"/>
      </w:r>
      <w:r w:rsidRPr="00353F2F">
        <w:rPr>
          <w:rFonts w:ascii="Times New Roman" w:hAnsi="Times New Roman" w:cs="Times New Roman"/>
          <w:sz w:val="24"/>
          <w:szCs w:val="24"/>
        </w:rPr>
        <w:t xml:space="preserve"> builds on North's framework by identifying three pillars of institutional influence on organizations: the regulative pillar (formal rules and enforcement mechanisms that compel compliance through the threat of sanctions), the normative pillar (professional standards and ethical norms that create obligations through internalized values), and the cognitive pillar (shared beliefs and taken-for-granted assumptions about appropriate practice that shape behavior through the formation of organizational identity). All three pillars are operative in Nigeria through the Central Bank of Nigeria (CBN), Securities and Exchange Commission (SEC), Infrastructure Concession Regulatory Commission (ICRC), and sector-specific regulators; as well as through international lender due diligence standards, the Equator Principles, and professional bodies.</w:t>
      </w:r>
    </w:p>
    <w:p w14:paraId="20B57DCA" w14:textId="77777777" w:rsidR="00897B51" w:rsidRPr="00353F2F" w:rsidRDefault="00897B51" w:rsidP="00353F2F">
      <w:pPr>
        <w:spacing w:before="160" w:line="480" w:lineRule="auto"/>
        <w:jc w:val="both"/>
        <w:rPr>
          <w:rFonts w:ascii="Times New Roman" w:hAnsi="Times New Roman" w:cs="Times New Roman"/>
          <w:sz w:val="24"/>
          <w:szCs w:val="24"/>
        </w:rPr>
      </w:pPr>
      <w:proofErr w:type="spellStart"/>
      <w:r w:rsidRPr="00353F2F">
        <w:rPr>
          <w:rFonts w:ascii="Times New Roman" w:hAnsi="Times New Roman" w:cs="Times New Roman"/>
          <w:sz w:val="24"/>
          <w:szCs w:val="24"/>
        </w:rPr>
        <w:t>Suchman's</w:t>
      </w:r>
      <w:proofErr w:type="spellEnd"/>
      <w:r w:rsidRPr="00353F2F">
        <w:rPr>
          <w:rStyle w:val="FootnoteReference"/>
          <w:rFonts w:ascii="Times New Roman" w:hAnsi="Times New Roman" w:cs="Times New Roman"/>
          <w:sz w:val="24"/>
          <w:szCs w:val="24"/>
        </w:rPr>
        <w:footnoteReference w:id="89"/>
      </w:r>
      <w:r w:rsidRPr="00353F2F">
        <w:rPr>
          <w:rFonts w:ascii="Times New Roman" w:hAnsi="Times New Roman" w:cs="Times New Roman"/>
          <w:sz w:val="24"/>
          <w:szCs w:val="24"/>
        </w:rPr>
        <w:t xml:space="preserve"> analysis of organizational legitimacy, the generalized perception that the actions of an entity are desirable, proper, or appropriate within some socially constructed system of norms, values, beliefs, and definitions, provides a complementary perspective, arguing that organizations seek to manage their legitimacy with key audiences including regulators, lenders, and the public by adopting governance structures and practices that conform to prevailing institutional expectations.</w:t>
      </w:r>
      <w:r w:rsidRPr="00353F2F">
        <w:rPr>
          <w:rStyle w:val="FootnoteReference"/>
          <w:rFonts w:ascii="Times New Roman" w:hAnsi="Times New Roman" w:cs="Times New Roman"/>
          <w:sz w:val="24"/>
          <w:szCs w:val="24"/>
        </w:rPr>
        <w:footnoteReference w:id="90"/>
      </w:r>
      <w:r w:rsidRPr="00353F2F">
        <w:rPr>
          <w:rFonts w:ascii="Times New Roman" w:hAnsi="Times New Roman" w:cs="Times New Roman"/>
          <w:sz w:val="24"/>
          <w:szCs w:val="24"/>
        </w:rPr>
        <w:t xml:space="preserve"> This legitimacy management imperative is particularly salient for project companies seeking to attract international debt finance, which requires demonstrating conformity </w:t>
      </w:r>
      <w:r w:rsidRPr="00353F2F">
        <w:rPr>
          <w:rFonts w:ascii="Times New Roman" w:hAnsi="Times New Roman" w:cs="Times New Roman"/>
          <w:sz w:val="24"/>
          <w:szCs w:val="24"/>
        </w:rPr>
        <w:lastRenderedPageBreak/>
        <w:t>with internationally recognized governance standards that may be substantially more demanding than those required by domestic regulation.</w:t>
      </w:r>
    </w:p>
    <w:p w14:paraId="6DA773B0"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Financial Reporting Council of Nigeria Act 2011 represents a landmark institutional reform that has significantly strengthened the regulative pillar of the Nigerian governance institutional environment by establishing mandatory accounting and auditing standards and empowering the FRCN to investigate and sanction non-compliant entities.</w:t>
      </w:r>
      <w:r w:rsidRPr="00353F2F">
        <w:rPr>
          <w:rStyle w:val="FootnoteReference"/>
          <w:rFonts w:ascii="Times New Roman" w:hAnsi="Times New Roman" w:cs="Times New Roman"/>
          <w:sz w:val="24"/>
          <w:szCs w:val="24"/>
        </w:rPr>
        <w:footnoteReference w:id="91"/>
      </w:r>
      <w:r w:rsidRPr="00353F2F">
        <w:rPr>
          <w:rFonts w:ascii="Times New Roman" w:hAnsi="Times New Roman" w:cs="Times New Roman"/>
          <w:sz w:val="24"/>
          <w:szCs w:val="24"/>
        </w:rPr>
        <w:t xml:space="preserve"> North argues that institutional change is typically incremental, path-dependent, and constrained by the distribution of power among institutional actors, insights that illuminate the challenges of governance reform in Nigeria, where entrenched interests, weak enforcement capacity, and the legacy of historical institutional weaknesses have constrained the pace and depth of governance improvement.</w:t>
      </w:r>
      <w:r w:rsidRPr="00353F2F">
        <w:rPr>
          <w:rStyle w:val="FootnoteReference"/>
          <w:rFonts w:ascii="Times New Roman" w:hAnsi="Times New Roman" w:cs="Times New Roman"/>
          <w:sz w:val="24"/>
          <w:szCs w:val="24"/>
        </w:rPr>
        <w:footnoteReference w:id="92"/>
      </w:r>
    </w:p>
    <w:p w14:paraId="4C0E27D0" w14:textId="77777777" w:rsidR="00897B51" w:rsidRPr="00353F2F" w:rsidRDefault="00897B51" w:rsidP="00353F2F">
      <w:pPr>
        <w:spacing w:before="16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Investment and Securities Act 2007 and its regulatory instruments represent an attempt to strengthen the formal institutional framework for Nigerian capital markets, with direct implications for the governance standards applicable to companies accessing those markets for project finance purposes.</w:t>
      </w:r>
      <w:r w:rsidRPr="00353F2F">
        <w:rPr>
          <w:rStyle w:val="FootnoteReference"/>
          <w:rFonts w:ascii="Times New Roman" w:hAnsi="Times New Roman" w:cs="Times New Roman"/>
          <w:sz w:val="24"/>
          <w:szCs w:val="24"/>
        </w:rPr>
        <w:footnoteReference w:id="93"/>
      </w:r>
      <w:r w:rsidRPr="00353F2F">
        <w:rPr>
          <w:rFonts w:ascii="Times New Roman" w:hAnsi="Times New Roman" w:cs="Times New Roman"/>
          <w:sz w:val="24"/>
          <w:szCs w:val="24"/>
        </w:rPr>
        <w:t xml:space="preserve"> The adoption of internationally recognized governance codes by Nigerian project companies, particularly the NCCG 2018 and the Equator Principles, reflects the mimetic and normative isomorphism mechanisms identified by DiMaggio and Powell, as Nigerian project participants adopt globally recognized governance templates to signal credibility to international lenders and investors.</w:t>
      </w:r>
      <w:r w:rsidRPr="00353F2F">
        <w:rPr>
          <w:rStyle w:val="FootnoteReference"/>
          <w:rFonts w:ascii="Times New Roman" w:hAnsi="Times New Roman" w:cs="Times New Roman"/>
          <w:sz w:val="24"/>
          <w:szCs w:val="24"/>
        </w:rPr>
        <w:footnoteReference w:id="94"/>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Ahunwan</w:t>
      </w:r>
      <w:proofErr w:type="spellEnd"/>
      <w:r w:rsidRPr="00353F2F">
        <w:rPr>
          <w:rStyle w:val="FootnoteReference"/>
          <w:rFonts w:ascii="Times New Roman" w:hAnsi="Times New Roman" w:cs="Times New Roman"/>
          <w:sz w:val="24"/>
          <w:szCs w:val="24"/>
        </w:rPr>
        <w:footnoteReference w:id="95"/>
      </w:r>
      <w:r w:rsidRPr="00353F2F">
        <w:rPr>
          <w:rFonts w:ascii="Times New Roman" w:hAnsi="Times New Roman" w:cs="Times New Roman"/>
          <w:sz w:val="24"/>
          <w:szCs w:val="24"/>
        </w:rPr>
        <w:t xml:space="preserve"> has argued that the effectiveness of institutional </w:t>
      </w:r>
      <w:r w:rsidRPr="00353F2F">
        <w:rPr>
          <w:rFonts w:ascii="Times New Roman" w:hAnsi="Times New Roman" w:cs="Times New Roman"/>
          <w:sz w:val="24"/>
          <w:szCs w:val="24"/>
        </w:rPr>
        <w:lastRenderedPageBreak/>
        <w:t>governance reform in Nigeria is constrained by deep-rooted informal institutions, including patronage networks, clientele relationships, and corruption norms, that undermine the enforcement of formal governance rules and create pervasive uncertainties about the reliability of institutional commitments.</w:t>
      </w:r>
      <w:r w:rsidRPr="00353F2F">
        <w:rPr>
          <w:rStyle w:val="FootnoteReference"/>
          <w:rFonts w:ascii="Times New Roman" w:hAnsi="Times New Roman" w:cs="Times New Roman"/>
          <w:sz w:val="24"/>
          <w:szCs w:val="24"/>
        </w:rPr>
        <w:footnoteReference w:id="96"/>
      </w:r>
      <w:r w:rsidRPr="00353F2F">
        <w:rPr>
          <w:rFonts w:ascii="Times New Roman" w:hAnsi="Times New Roman" w:cs="Times New Roman"/>
          <w:sz w:val="24"/>
          <w:szCs w:val="24"/>
        </w:rPr>
        <w:t xml:space="preserve"> The OECD Principles of Corporate Governance represent a normative institutional framework that has exerted significant influence on the development of Nigerian governance standards through multilateral channels, including the engagement of the World Bank Group and the IMF with Nigerian regulatory authorities.</w:t>
      </w:r>
      <w:r w:rsidRPr="00353F2F">
        <w:rPr>
          <w:rStyle w:val="FootnoteReference"/>
          <w:rFonts w:ascii="Times New Roman" w:hAnsi="Times New Roman" w:cs="Times New Roman"/>
          <w:sz w:val="24"/>
          <w:szCs w:val="24"/>
        </w:rPr>
        <w:footnoteReference w:id="97"/>
      </w:r>
    </w:p>
    <w:p w14:paraId="561A4096" w14:textId="77777777" w:rsidR="00897B51" w:rsidRPr="00353F2F" w:rsidRDefault="00897B51" w:rsidP="00353F2F">
      <w:p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2.3 Literature Review</w:t>
      </w:r>
    </w:p>
    <w:p w14:paraId="482C9528"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Any serious engagement with the corporate governance literature must begin with the foundational theoretical contributions that established the analytical architecture within which all subsequent scholarship has operated. The most seminal of these contributions remains the 1976 article by Michael Jensen and William </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98"/>
      </w:r>
      <w:r w:rsidRPr="00353F2F">
        <w:rPr>
          <w:rFonts w:ascii="Times New Roman" w:hAnsi="Times New Roman" w:cs="Times New Roman"/>
          <w:sz w:val="24"/>
          <w:szCs w:val="24"/>
        </w:rPr>
        <w:t xml:space="preserve"> published in the Journal of Financial Economics, which introduced the concept of agency costs and provided the first rigorous economic model of the relationship between ownership structure, managerial incentives, and firm value.</w:t>
      </w:r>
      <w:r w:rsidRPr="00353F2F">
        <w:rPr>
          <w:rStyle w:val="FootnoteReference"/>
          <w:rFonts w:ascii="Times New Roman" w:hAnsi="Times New Roman" w:cs="Times New Roman"/>
          <w:sz w:val="24"/>
          <w:szCs w:val="24"/>
        </w:rPr>
        <w:footnoteReference w:id="99"/>
      </w:r>
      <w:r w:rsidRPr="00353F2F">
        <w:rPr>
          <w:rFonts w:ascii="Times New Roman" w:hAnsi="Times New Roman" w:cs="Times New Roman"/>
          <w:sz w:val="24"/>
          <w:szCs w:val="24"/>
        </w:rPr>
        <w:t xml:space="preserve"> Jensen and </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 xml:space="preserve"> demonstrated that the separation of ownership and control in the modern corporation inevitably generates costs arising from the divergence of interests between principals, the shareholders who supply capital, and agents, the managers who exercise decision-making authority over that capital.</w:t>
      </w:r>
      <w:r w:rsidRPr="00353F2F">
        <w:rPr>
          <w:rStyle w:val="FootnoteReference"/>
          <w:rFonts w:ascii="Times New Roman" w:hAnsi="Times New Roman" w:cs="Times New Roman"/>
          <w:sz w:val="24"/>
          <w:szCs w:val="24"/>
        </w:rPr>
        <w:footnoteReference w:id="100"/>
      </w:r>
      <w:r w:rsidRPr="00353F2F">
        <w:rPr>
          <w:rFonts w:ascii="Times New Roman" w:hAnsi="Times New Roman" w:cs="Times New Roman"/>
          <w:sz w:val="24"/>
          <w:szCs w:val="24"/>
        </w:rPr>
        <w:t xml:space="preserve"> Their central insight was that governance mechanisms, including external monitoring, performance-based compensation, and the disciplining effect of financial leverage, </w:t>
      </w:r>
      <w:r w:rsidRPr="00353F2F">
        <w:rPr>
          <w:rFonts w:ascii="Times New Roman" w:hAnsi="Times New Roman" w:cs="Times New Roman"/>
          <w:sz w:val="24"/>
          <w:szCs w:val="24"/>
        </w:rPr>
        <w:lastRenderedPageBreak/>
        <w:t>serve as institutional responses to the agency problem, reducing its costs without eliminating the fundamental tension that generates them.</w:t>
      </w:r>
      <w:r w:rsidRPr="00353F2F">
        <w:rPr>
          <w:rStyle w:val="FootnoteReference"/>
          <w:rFonts w:ascii="Times New Roman" w:hAnsi="Times New Roman" w:cs="Times New Roman"/>
          <w:sz w:val="24"/>
          <w:szCs w:val="24"/>
        </w:rPr>
        <w:footnoteReference w:id="101"/>
      </w:r>
      <w:r w:rsidRPr="00353F2F">
        <w:rPr>
          <w:rFonts w:ascii="Times New Roman" w:hAnsi="Times New Roman" w:cs="Times New Roman"/>
          <w:sz w:val="24"/>
          <w:szCs w:val="24"/>
        </w:rPr>
        <w:t xml:space="preserve"> The enduring relevance of Jensen and </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 xml:space="preserve"> to this thesis lies in their demonstration that governance quality directly affects the cost and availability of capital, a proposition that lies at the heart of the relationship between corporate governance, risk mitigation, and the bankability of project finance transactions in the Nigerian context. Their model predicts that, all else equal, enterprises with stronger governance structures, characterized by more effective monitoring mechanisms, stronger incentive alignment, and more robust accountability arrangements, will access capital at lower cost and on more favorable terms than those with governance weaknesses, a prediction directly applicable to the bankability analysis of this thesis.</w:t>
      </w:r>
    </w:p>
    <w:p w14:paraId="7162F120"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Building directly on the Jensen-</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 xml:space="preserve"> framework, Andrei Shleifer and Robert </w:t>
      </w:r>
      <w:proofErr w:type="spellStart"/>
      <w:r w:rsidRPr="00353F2F">
        <w:rPr>
          <w:rFonts w:ascii="Times New Roman" w:hAnsi="Times New Roman" w:cs="Times New Roman"/>
          <w:sz w:val="24"/>
          <w:szCs w:val="24"/>
        </w:rPr>
        <w:t>Vishny</w:t>
      </w:r>
      <w:proofErr w:type="spellEnd"/>
      <w:r w:rsidRPr="00353F2F">
        <w:rPr>
          <w:rStyle w:val="FootnoteReference"/>
          <w:rFonts w:ascii="Times New Roman" w:hAnsi="Times New Roman" w:cs="Times New Roman"/>
          <w:sz w:val="24"/>
          <w:szCs w:val="24"/>
        </w:rPr>
        <w:footnoteReference w:id="102"/>
      </w:r>
      <w:r w:rsidRPr="00353F2F">
        <w:rPr>
          <w:rFonts w:ascii="Times New Roman" w:hAnsi="Times New Roman" w:cs="Times New Roman"/>
          <w:sz w:val="24"/>
          <w:szCs w:val="24"/>
        </w:rPr>
        <w:t xml:space="preserve"> published their landmark survey of corporate governance in the Journal of Finance in 1997, providing a comprehensive review of the literature on the mechanisms through which investors in corporations protect their returns from managerial expropriation. Shleifer and </w:t>
      </w:r>
      <w:proofErr w:type="spellStart"/>
      <w:r w:rsidRPr="00353F2F">
        <w:rPr>
          <w:rFonts w:ascii="Times New Roman" w:hAnsi="Times New Roman" w:cs="Times New Roman"/>
          <w:sz w:val="24"/>
          <w:szCs w:val="24"/>
        </w:rPr>
        <w:t>Vishny</w:t>
      </w:r>
      <w:proofErr w:type="spellEnd"/>
      <w:r w:rsidRPr="00353F2F">
        <w:rPr>
          <w:rFonts w:ascii="Times New Roman" w:hAnsi="Times New Roman" w:cs="Times New Roman"/>
          <w:sz w:val="24"/>
          <w:szCs w:val="24"/>
        </w:rPr>
        <w:t xml:space="preserve"> identified three principal governance mechanisms deployed across different legal and institutional environments to wit: (</w:t>
      </w:r>
      <w:proofErr w:type="spellStart"/>
      <w:r w:rsidRPr="00353F2F">
        <w:rPr>
          <w:rFonts w:ascii="Times New Roman" w:hAnsi="Times New Roman" w:cs="Times New Roman"/>
          <w:sz w:val="24"/>
          <w:szCs w:val="24"/>
        </w:rPr>
        <w:t>i</w:t>
      </w:r>
      <w:proofErr w:type="spellEnd"/>
      <w:r w:rsidRPr="00353F2F">
        <w:rPr>
          <w:rFonts w:ascii="Times New Roman" w:hAnsi="Times New Roman" w:cs="Times New Roman"/>
          <w:sz w:val="24"/>
          <w:szCs w:val="24"/>
        </w:rPr>
        <w:t>) shareholders with sufficient economic incentives and legal powers to discipline management; (ii) creditors equipped with enforceable rights to foreclose on assets and impose debt covenants; and (iii) regulatory and legal systems that define the scope of permissible managerial action and provide mechanisms for shareholder and creditor enforcement.</w:t>
      </w:r>
      <w:r w:rsidRPr="00353F2F">
        <w:rPr>
          <w:rStyle w:val="FootnoteReference"/>
          <w:rFonts w:ascii="Times New Roman" w:hAnsi="Times New Roman" w:cs="Times New Roman"/>
          <w:sz w:val="24"/>
          <w:szCs w:val="24"/>
        </w:rPr>
        <w:footnoteReference w:id="103"/>
      </w:r>
      <w:r w:rsidRPr="00353F2F">
        <w:rPr>
          <w:rFonts w:ascii="Times New Roman" w:hAnsi="Times New Roman" w:cs="Times New Roman"/>
          <w:sz w:val="24"/>
          <w:szCs w:val="24"/>
        </w:rPr>
        <w:t xml:space="preserve"> Their comparative analysis demonstrates that the effectiveness of these mechanisms varies significantly </w:t>
      </w:r>
      <w:r w:rsidRPr="00353F2F">
        <w:rPr>
          <w:rFonts w:ascii="Times New Roman" w:hAnsi="Times New Roman" w:cs="Times New Roman"/>
          <w:sz w:val="24"/>
          <w:szCs w:val="24"/>
        </w:rPr>
        <w:lastRenderedPageBreak/>
        <w:t>across jurisdictions, with common law systems providing systematically stronger investor protections than civil law systems, a finding with important implications for the Nigerian project finance context where the robustness of common law traditions interacts with the fragility of enforcement institutions.</w:t>
      </w:r>
      <w:r w:rsidRPr="00353F2F">
        <w:rPr>
          <w:rStyle w:val="FootnoteReference"/>
          <w:rFonts w:ascii="Times New Roman" w:hAnsi="Times New Roman" w:cs="Times New Roman"/>
          <w:sz w:val="24"/>
          <w:szCs w:val="24"/>
        </w:rPr>
        <w:footnoteReference w:id="104"/>
      </w:r>
      <w:r w:rsidRPr="00353F2F">
        <w:rPr>
          <w:rFonts w:ascii="Times New Roman" w:hAnsi="Times New Roman" w:cs="Times New Roman"/>
          <w:sz w:val="24"/>
          <w:szCs w:val="24"/>
        </w:rPr>
        <w:t xml:space="preserve"> The significance of Shleifer and </w:t>
      </w:r>
      <w:proofErr w:type="spellStart"/>
      <w:r w:rsidRPr="00353F2F">
        <w:rPr>
          <w:rFonts w:ascii="Times New Roman" w:hAnsi="Times New Roman" w:cs="Times New Roman"/>
          <w:sz w:val="24"/>
          <w:szCs w:val="24"/>
        </w:rPr>
        <w:t>Vishny</w:t>
      </w:r>
      <w:proofErr w:type="spellEnd"/>
      <w:r w:rsidRPr="00353F2F">
        <w:rPr>
          <w:rFonts w:ascii="Times New Roman" w:hAnsi="Times New Roman" w:cs="Times New Roman"/>
          <w:sz w:val="24"/>
          <w:szCs w:val="24"/>
        </w:rPr>
        <w:t xml:space="preserve"> for this study lies in their insight that governance mechanisms are not interchangeable. Each operate differently across institutional environments, and the effectiveness of any particular mechanism depends critically on the legal, regulatory, and institutional infrastructure within which it operates. This insight frames the thesis's analysis of how governance mechanisms must be adapted to the specific institutional characteristics of the Nigerian project finance environment in order to deliver their intended risk mitigation and bankability-enhancing effects.</w:t>
      </w:r>
    </w:p>
    <w:p w14:paraId="7BC95168"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Robert Monks and Nell </w:t>
      </w:r>
      <w:proofErr w:type="spellStart"/>
      <w:r w:rsidRPr="00353F2F">
        <w:rPr>
          <w:rFonts w:ascii="Times New Roman" w:hAnsi="Times New Roman" w:cs="Times New Roman"/>
          <w:sz w:val="24"/>
          <w:szCs w:val="24"/>
        </w:rPr>
        <w:t>Minow</w:t>
      </w:r>
      <w:proofErr w:type="spellEnd"/>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105"/>
      </w:r>
      <w:r w:rsidRPr="00353F2F">
        <w:rPr>
          <w:rFonts w:ascii="Times New Roman" w:hAnsi="Times New Roman" w:cs="Times New Roman"/>
          <w:sz w:val="24"/>
          <w:szCs w:val="24"/>
        </w:rPr>
        <w:t xml:space="preserve"> in their comprehensive treatise on corporate governance, approach the subject from a practitioner-oriented perspective that complements the theoretical rigor of Jensen-</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 xml:space="preserve"> and Shleifer-</w:t>
      </w:r>
      <w:proofErr w:type="spellStart"/>
      <w:r w:rsidRPr="00353F2F">
        <w:rPr>
          <w:rFonts w:ascii="Times New Roman" w:hAnsi="Times New Roman" w:cs="Times New Roman"/>
          <w:sz w:val="24"/>
          <w:szCs w:val="24"/>
        </w:rPr>
        <w:t>Vishny</w:t>
      </w:r>
      <w:proofErr w:type="spellEnd"/>
      <w:r w:rsidRPr="00353F2F">
        <w:rPr>
          <w:rFonts w:ascii="Times New Roman" w:hAnsi="Times New Roman" w:cs="Times New Roman"/>
          <w:sz w:val="24"/>
          <w:szCs w:val="24"/>
        </w:rPr>
        <w:t xml:space="preserve"> with a detailed analysis of how governance mechanisms function, or fail, in real corporate environments. Their work is distinctive in its sustained attention to the Board of Directors as the central institution of corporate governance, analyzing in depth the composition, structure, processes, and performance of boards across different corporate contexts and jurisdictions.</w:t>
      </w:r>
      <w:r w:rsidRPr="00353F2F">
        <w:rPr>
          <w:rStyle w:val="FootnoteReference"/>
          <w:rFonts w:ascii="Times New Roman" w:hAnsi="Times New Roman" w:cs="Times New Roman"/>
          <w:sz w:val="24"/>
          <w:szCs w:val="24"/>
        </w:rPr>
        <w:footnoteReference w:id="106"/>
      </w:r>
      <w:r w:rsidRPr="00353F2F">
        <w:rPr>
          <w:rFonts w:ascii="Times New Roman" w:hAnsi="Times New Roman" w:cs="Times New Roman"/>
          <w:sz w:val="24"/>
          <w:szCs w:val="24"/>
        </w:rPr>
        <w:t xml:space="preserve"> Monks and </w:t>
      </w:r>
      <w:proofErr w:type="spellStart"/>
      <w:r w:rsidRPr="00353F2F">
        <w:rPr>
          <w:rFonts w:ascii="Times New Roman" w:hAnsi="Times New Roman" w:cs="Times New Roman"/>
          <w:sz w:val="24"/>
          <w:szCs w:val="24"/>
        </w:rPr>
        <w:t>Minow</w:t>
      </w:r>
      <w:proofErr w:type="spellEnd"/>
      <w:r w:rsidRPr="00353F2F">
        <w:rPr>
          <w:rFonts w:ascii="Times New Roman" w:hAnsi="Times New Roman" w:cs="Times New Roman"/>
          <w:sz w:val="24"/>
          <w:szCs w:val="24"/>
        </w:rPr>
        <w:t xml:space="preserve"> argue persuasively that the quality of board oversight is the single most important determinant of governance effectiveness, and that the systemic weaknesses of board performance, including director passivity, informational asymmetries between boards and management, the dominance of executive directors, and the </w:t>
      </w:r>
      <w:r w:rsidRPr="00353F2F">
        <w:rPr>
          <w:rFonts w:ascii="Times New Roman" w:hAnsi="Times New Roman" w:cs="Times New Roman"/>
          <w:sz w:val="24"/>
          <w:szCs w:val="24"/>
        </w:rPr>
        <w:lastRenderedPageBreak/>
        <w:t>conflicts of interest created by director compensation arrangements, are the primary source of governance failures in both developed and developing markets.</w:t>
      </w:r>
      <w:r w:rsidRPr="00353F2F">
        <w:rPr>
          <w:rStyle w:val="FootnoteReference"/>
          <w:rFonts w:ascii="Times New Roman" w:hAnsi="Times New Roman" w:cs="Times New Roman"/>
          <w:sz w:val="24"/>
          <w:szCs w:val="24"/>
        </w:rPr>
        <w:footnoteReference w:id="107"/>
      </w:r>
      <w:r w:rsidRPr="00353F2F">
        <w:rPr>
          <w:rFonts w:ascii="Times New Roman" w:hAnsi="Times New Roman" w:cs="Times New Roman"/>
          <w:sz w:val="24"/>
          <w:szCs w:val="24"/>
        </w:rPr>
        <w:t xml:space="preserve"> Their analysis of executive compensation as a governance mechanism, demonstrating that poorly designed remuneration structures can aggravate rather than ameliorate agency problems, is particularly relevant to the project finance context where incentive alignment between project management and the lender syndicate is a critical governance challenge.</w:t>
      </w:r>
      <w:r w:rsidRPr="00353F2F">
        <w:rPr>
          <w:rStyle w:val="FootnoteReference"/>
          <w:rFonts w:ascii="Times New Roman" w:hAnsi="Times New Roman" w:cs="Times New Roman"/>
          <w:sz w:val="24"/>
          <w:szCs w:val="24"/>
        </w:rPr>
        <w:footnoteReference w:id="108"/>
      </w:r>
      <w:r w:rsidRPr="00353F2F">
        <w:rPr>
          <w:rFonts w:ascii="Times New Roman" w:hAnsi="Times New Roman" w:cs="Times New Roman"/>
          <w:sz w:val="24"/>
          <w:szCs w:val="24"/>
        </w:rPr>
        <w:t xml:space="preserve"> The practical orientation of Monks and </w:t>
      </w:r>
      <w:proofErr w:type="spellStart"/>
      <w:r w:rsidRPr="00353F2F">
        <w:rPr>
          <w:rFonts w:ascii="Times New Roman" w:hAnsi="Times New Roman" w:cs="Times New Roman"/>
          <w:sz w:val="24"/>
          <w:szCs w:val="24"/>
        </w:rPr>
        <w:t>Minow's</w:t>
      </w:r>
      <w:proofErr w:type="spellEnd"/>
      <w:r w:rsidRPr="00353F2F">
        <w:rPr>
          <w:rFonts w:ascii="Times New Roman" w:hAnsi="Times New Roman" w:cs="Times New Roman"/>
          <w:sz w:val="24"/>
          <w:szCs w:val="24"/>
        </w:rPr>
        <w:t xml:space="preserve"> scholarship also makes it a valuable reference point for the policy and reform dimensions of this thesis, as their detailed prescriptions for improving board quality, enhancing audit independence, and strengthening shareholder rights provide concrete governance reform benchmarks against which Nigerian project finance governance arrangements can be evaluated.</w:t>
      </w:r>
    </w:p>
    <w:p w14:paraId="7544FB7D"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Jill Solomon's</w:t>
      </w:r>
      <w:r w:rsidRPr="00353F2F">
        <w:rPr>
          <w:rStyle w:val="FootnoteReference"/>
          <w:rFonts w:ascii="Times New Roman" w:hAnsi="Times New Roman" w:cs="Times New Roman"/>
          <w:sz w:val="24"/>
          <w:szCs w:val="24"/>
        </w:rPr>
        <w:footnoteReference w:id="109"/>
      </w:r>
      <w:r w:rsidRPr="00353F2F">
        <w:rPr>
          <w:rFonts w:ascii="Times New Roman" w:hAnsi="Times New Roman" w:cs="Times New Roman"/>
          <w:sz w:val="24"/>
          <w:szCs w:val="24"/>
        </w:rPr>
        <w:t xml:space="preserve"> textbook on corporate governance and accountability provides a comprehensive and methodologically pluralistic treatment of the field that engages with both the shareholder primacy tradition of Jensen-</w:t>
      </w:r>
      <w:proofErr w:type="spellStart"/>
      <w:r w:rsidRPr="00353F2F">
        <w:rPr>
          <w:rFonts w:ascii="Times New Roman" w:hAnsi="Times New Roman" w:cs="Times New Roman"/>
          <w:sz w:val="24"/>
          <w:szCs w:val="24"/>
        </w:rPr>
        <w:t>Meckling</w:t>
      </w:r>
      <w:proofErr w:type="spellEnd"/>
      <w:r w:rsidRPr="00353F2F">
        <w:rPr>
          <w:rFonts w:ascii="Times New Roman" w:hAnsi="Times New Roman" w:cs="Times New Roman"/>
          <w:sz w:val="24"/>
          <w:szCs w:val="24"/>
        </w:rPr>
        <w:t xml:space="preserve"> and the broader stakeholder orientation associated with Freeman and his collaborators. Solomon's contribution is particularly valuable for its systematic treatment of the international dimensions of corporate governance, including the comparative analysis of governance systems across common law, civil law, and hybrid jurisdictions, and her detailed analysis of the role of institutional investors as governance agents.</w:t>
      </w:r>
      <w:r w:rsidRPr="00353F2F">
        <w:rPr>
          <w:rStyle w:val="FootnoteReference"/>
          <w:rFonts w:ascii="Times New Roman" w:hAnsi="Times New Roman" w:cs="Times New Roman"/>
          <w:sz w:val="24"/>
          <w:szCs w:val="24"/>
        </w:rPr>
        <w:footnoteReference w:id="110"/>
      </w:r>
      <w:r w:rsidRPr="00353F2F">
        <w:rPr>
          <w:rFonts w:ascii="Times New Roman" w:hAnsi="Times New Roman" w:cs="Times New Roman"/>
          <w:sz w:val="24"/>
          <w:szCs w:val="24"/>
        </w:rPr>
        <w:t xml:space="preserve"> Her chapter on governance and accountability in the context of social and environmental responsibility is directly relevant to this study, as it provides a framework for understanding how the governance obligations of project companies in high-impact sectors like oil and gas, power, and transportation extend </w:t>
      </w:r>
      <w:r w:rsidRPr="00353F2F">
        <w:rPr>
          <w:rFonts w:ascii="Times New Roman" w:hAnsi="Times New Roman" w:cs="Times New Roman"/>
          <w:sz w:val="24"/>
          <w:szCs w:val="24"/>
        </w:rPr>
        <w:lastRenderedPageBreak/>
        <w:t>beyond financial accountability to encompass broader social and environmental accountability obligations that increasingly affect bankability assessments by international lenders.</w:t>
      </w:r>
      <w:r w:rsidRPr="00353F2F">
        <w:rPr>
          <w:rStyle w:val="FootnoteReference"/>
          <w:rFonts w:ascii="Times New Roman" w:hAnsi="Times New Roman" w:cs="Times New Roman"/>
          <w:sz w:val="24"/>
          <w:szCs w:val="24"/>
        </w:rPr>
        <w:footnoteReference w:id="111"/>
      </w:r>
      <w:r w:rsidRPr="00353F2F">
        <w:rPr>
          <w:rFonts w:ascii="Times New Roman" w:hAnsi="Times New Roman" w:cs="Times New Roman"/>
          <w:sz w:val="24"/>
          <w:szCs w:val="24"/>
        </w:rPr>
        <w:t xml:space="preserve"> Solomon's treatment of audit, disclosure, and transparency as governance mechanisms provides comparative context for the analysis of financial governance arrangements within Nigerian project finance structures, illuminating how these mechanisms operate differently across jurisdictions and institutional environments and how their effectiveness depends critically on the quality of the supporting institutional infrastructure.</w:t>
      </w:r>
      <w:r w:rsidRPr="00353F2F">
        <w:rPr>
          <w:rStyle w:val="FootnoteReference"/>
          <w:rFonts w:ascii="Times New Roman" w:hAnsi="Times New Roman" w:cs="Times New Roman"/>
          <w:sz w:val="24"/>
          <w:szCs w:val="24"/>
        </w:rPr>
        <w:footnoteReference w:id="112"/>
      </w:r>
    </w:p>
    <w:p w14:paraId="7270DC39"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Scott Hoffman's</w:t>
      </w:r>
      <w:r w:rsidRPr="00353F2F">
        <w:rPr>
          <w:rStyle w:val="FootnoteReference"/>
          <w:rFonts w:ascii="Times New Roman" w:hAnsi="Times New Roman" w:cs="Times New Roman"/>
          <w:sz w:val="24"/>
          <w:szCs w:val="24"/>
        </w:rPr>
        <w:footnoteReference w:id="113"/>
      </w:r>
      <w:r w:rsidRPr="00353F2F">
        <w:rPr>
          <w:rFonts w:ascii="Times New Roman" w:hAnsi="Times New Roman" w:cs="Times New Roman"/>
          <w:sz w:val="24"/>
          <w:szCs w:val="24"/>
        </w:rPr>
        <w:t xml:space="preserve"> treatise on the law and business of international project finance stands as the most comprehensive legal analysis of the project finance transaction structure, providing a detailed examination of the legal documentation, regulatory framework, and governance arrangements that characterize major project finance transactions across sectors and jurisdictions.</w:t>
      </w:r>
      <w:r w:rsidRPr="00353F2F">
        <w:rPr>
          <w:rStyle w:val="FootnoteReference"/>
          <w:rFonts w:ascii="Times New Roman" w:hAnsi="Times New Roman" w:cs="Times New Roman"/>
          <w:sz w:val="24"/>
          <w:szCs w:val="24"/>
        </w:rPr>
        <w:footnoteReference w:id="114"/>
      </w:r>
      <w:r w:rsidRPr="00353F2F">
        <w:rPr>
          <w:rFonts w:ascii="Times New Roman" w:hAnsi="Times New Roman" w:cs="Times New Roman"/>
          <w:sz w:val="24"/>
          <w:szCs w:val="24"/>
        </w:rPr>
        <w:t xml:space="preserve"> Hoffman's definition of project finance, as the financing of a particular economic unit in which lenders are satisfied to look initially to the cash flows and earnings of that unit as the source of repayment and to the assets of that economic unit as collateral for the loan, establishes the foundational structural feature that distinguishes project finance from conventional corporate lending and which creates the distinctive governance challenges that this thesis examines.</w:t>
      </w:r>
      <w:r w:rsidRPr="00353F2F">
        <w:rPr>
          <w:rStyle w:val="FootnoteReference"/>
          <w:rFonts w:ascii="Times New Roman" w:hAnsi="Times New Roman" w:cs="Times New Roman"/>
          <w:sz w:val="24"/>
          <w:szCs w:val="24"/>
        </w:rPr>
        <w:footnoteReference w:id="115"/>
      </w:r>
      <w:r w:rsidRPr="00353F2F">
        <w:rPr>
          <w:rFonts w:ascii="Times New Roman" w:hAnsi="Times New Roman" w:cs="Times New Roman"/>
          <w:sz w:val="24"/>
          <w:szCs w:val="24"/>
        </w:rPr>
        <w:t xml:space="preserve"> His analysis of the governance arrangements embedded within project finance transactions, including the SPV structure, the board composition requirements typically imposed by lenders, the information and reporting undertakings, and the restricted payment provisions, is particularly valuable, demonstrating how </w:t>
      </w:r>
      <w:r w:rsidRPr="00353F2F">
        <w:rPr>
          <w:rFonts w:ascii="Times New Roman" w:hAnsi="Times New Roman" w:cs="Times New Roman"/>
          <w:sz w:val="24"/>
          <w:szCs w:val="24"/>
        </w:rPr>
        <w:lastRenderedPageBreak/>
        <w:t>governance mechanisms function as integral components of the project finance legal architecture rather than as supplementary compliance requirements.</w:t>
      </w:r>
      <w:r w:rsidRPr="00353F2F">
        <w:rPr>
          <w:rStyle w:val="FootnoteReference"/>
          <w:rFonts w:ascii="Times New Roman" w:hAnsi="Times New Roman" w:cs="Times New Roman"/>
          <w:sz w:val="24"/>
          <w:szCs w:val="24"/>
        </w:rPr>
        <w:footnoteReference w:id="116"/>
      </w:r>
      <w:r w:rsidRPr="00353F2F">
        <w:rPr>
          <w:rFonts w:ascii="Times New Roman" w:hAnsi="Times New Roman" w:cs="Times New Roman"/>
          <w:sz w:val="24"/>
          <w:szCs w:val="24"/>
        </w:rPr>
        <w:t xml:space="preserve"> Hoffman's treatment of political risk and its management through contractual, insurance, and structural mechanisms provides important context for understanding the risk mitigation challenges that are central to this thesis, particularly in high-risk jurisdictions like Nigeria. His systematic analysis of how governance failures, including misrepresentation in financial reporting, breaches of project covenants, and changes in management without lender consent, trigger enforcement rights under project finance documentation illuminates the legal architecture through which governance standards are operationalized and enforced in practice.</w:t>
      </w:r>
      <w:r w:rsidRPr="00353F2F">
        <w:rPr>
          <w:rStyle w:val="FootnoteReference"/>
          <w:rFonts w:ascii="Times New Roman" w:hAnsi="Times New Roman" w:cs="Times New Roman"/>
          <w:sz w:val="24"/>
          <w:szCs w:val="24"/>
        </w:rPr>
        <w:footnoteReference w:id="117"/>
      </w:r>
    </w:p>
    <w:p w14:paraId="6EBD739C"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Edward R. </w:t>
      </w:r>
      <w:proofErr w:type="spellStart"/>
      <w:r w:rsidRPr="00353F2F">
        <w:rPr>
          <w:rFonts w:ascii="Times New Roman" w:hAnsi="Times New Roman" w:cs="Times New Roman"/>
          <w:sz w:val="24"/>
          <w:szCs w:val="24"/>
        </w:rPr>
        <w:t>Yescombe's</w:t>
      </w:r>
      <w:proofErr w:type="spellEnd"/>
      <w:r w:rsidRPr="00353F2F">
        <w:rPr>
          <w:rStyle w:val="FootnoteReference"/>
          <w:rFonts w:ascii="Times New Roman" w:hAnsi="Times New Roman" w:cs="Times New Roman"/>
          <w:sz w:val="24"/>
          <w:szCs w:val="24"/>
        </w:rPr>
        <w:footnoteReference w:id="118"/>
      </w:r>
      <w:r w:rsidRPr="00353F2F">
        <w:rPr>
          <w:rFonts w:ascii="Times New Roman" w:hAnsi="Times New Roman" w:cs="Times New Roman"/>
          <w:sz w:val="24"/>
          <w:szCs w:val="24"/>
        </w:rPr>
        <w:t xml:space="preserve"> Principles of Project Finance represents the most rigorous and comprehensive economic and financial analysis of the project finance technique available in the literature, providing a detailed account of the financial modelling, risk analysis, debt structuring, and governance requirements that underpin a bankable project finance transaction.</w:t>
      </w:r>
      <w:r w:rsidRPr="00353F2F">
        <w:rPr>
          <w:rStyle w:val="FootnoteReference"/>
          <w:rFonts w:ascii="Times New Roman" w:hAnsi="Times New Roman" w:cs="Times New Roman"/>
          <w:sz w:val="24"/>
          <w:szCs w:val="24"/>
        </w:rPr>
        <w:footnoteReference w:id="119"/>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Yescombe's</w:t>
      </w:r>
      <w:proofErr w:type="spellEnd"/>
      <w:r w:rsidRPr="00353F2F">
        <w:rPr>
          <w:rFonts w:ascii="Times New Roman" w:hAnsi="Times New Roman" w:cs="Times New Roman"/>
          <w:sz w:val="24"/>
          <w:szCs w:val="24"/>
        </w:rPr>
        <w:t xml:space="preserve"> conceptualization of bankability, as the achievement of a minimum standard of project quality, contractual robustness, and governance adequacy that makes the project acceptable to prudent commercial lenders, provides the primary analytical framework for this thesis's examination of the relationship between governance quality and bankability in the Nigerian context.</w:t>
      </w:r>
      <w:r w:rsidRPr="00353F2F">
        <w:rPr>
          <w:rStyle w:val="FootnoteReference"/>
          <w:rFonts w:ascii="Times New Roman" w:hAnsi="Times New Roman" w:cs="Times New Roman"/>
          <w:sz w:val="24"/>
          <w:szCs w:val="24"/>
        </w:rPr>
        <w:footnoteReference w:id="120"/>
      </w:r>
      <w:r w:rsidRPr="00353F2F">
        <w:rPr>
          <w:rFonts w:ascii="Times New Roman" w:hAnsi="Times New Roman" w:cs="Times New Roman"/>
          <w:sz w:val="24"/>
          <w:szCs w:val="24"/>
        </w:rPr>
        <w:t xml:space="preserve"> His analysis of the financial model as the central analytical tool of project finance lenders demonstrates how lenders use financial models to stress-test project cash flows against identified risks and to set </w:t>
      </w:r>
      <w:r w:rsidRPr="00353F2F">
        <w:rPr>
          <w:rFonts w:ascii="Times New Roman" w:hAnsi="Times New Roman" w:cs="Times New Roman"/>
          <w:sz w:val="24"/>
          <w:szCs w:val="24"/>
        </w:rPr>
        <w:lastRenderedPageBreak/>
        <w:t>appropriate financial covenants, illuminating the quantitative dimensions of the bankability assessment process that governance quality directly affects.</w:t>
      </w:r>
      <w:r w:rsidRPr="00353F2F">
        <w:rPr>
          <w:rStyle w:val="FootnoteReference"/>
          <w:rFonts w:ascii="Times New Roman" w:hAnsi="Times New Roman" w:cs="Times New Roman"/>
          <w:sz w:val="24"/>
          <w:szCs w:val="24"/>
        </w:rPr>
        <w:footnoteReference w:id="121"/>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Yescombe's</w:t>
      </w:r>
      <w:proofErr w:type="spellEnd"/>
      <w:r w:rsidRPr="00353F2F">
        <w:rPr>
          <w:rFonts w:ascii="Times New Roman" w:hAnsi="Times New Roman" w:cs="Times New Roman"/>
          <w:sz w:val="24"/>
          <w:szCs w:val="24"/>
        </w:rPr>
        <w:t xml:space="preserve"> treatment of project finance in developing markets is particularly relevant to this thesis, noting that the governance, regulatory, and institutional challenges specific to emerging economies require adaptations to the standard project finance governance template that are not always adequately addressed in the mainstream project finance literature, and that lenders active in developing country markets require governance safeguards that go significantly beyond those typically required in developed market transactions.</w:t>
      </w:r>
      <w:r w:rsidRPr="00353F2F">
        <w:rPr>
          <w:rStyle w:val="FootnoteReference"/>
          <w:rFonts w:ascii="Times New Roman" w:hAnsi="Times New Roman" w:cs="Times New Roman"/>
          <w:sz w:val="24"/>
          <w:szCs w:val="24"/>
        </w:rPr>
        <w:footnoteReference w:id="122"/>
      </w:r>
    </w:p>
    <w:p w14:paraId="75092014"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John Finnerty's</w:t>
      </w:r>
      <w:r w:rsidRPr="00353F2F">
        <w:rPr>
          <w:rStyle w:val="FootnoteReference"/>
          <w:rFonts w:ascii="Times New Roman" w:hAnsi="Times New Roman" w:cs="Times New Roman"/>
          <w:sz w:val="24"/>
          <w:szCs w:val="24"/>
        </w:rPr>
        <w:footnoteReference w:id="123"/>
      </w:r>
      <w:r w:rsidRPr="00353F2F">
        <w:rPr>
          <w:rFonts w:ascii="Times New Roman" w:hAnsi="Times New Roman" w:cs="Times New Roman"/>
          <w:sz w:val="24"/>
          <w:szCs w:val="24"/>
        </w:rPr>
        <w:t xml:space="preserve"> textbook on project financing provides a complementary perspective to Hoffman and </w:t>
      </w:r>
      <w:proofErr w:type="spellStart"/>
      <w:r w:rsidRPr="00353F2F">
        <w:rPr>
          <w:rFonts w:ascii="Times New Roman" w:hAnsi="Times New Roman" w:cs="Times New Roman"/>
          <w:sz w:val="24"/>
          <w:szCs w:val="24"/>
        </w:rPr>
        <w:t>Yescombe</w:t>
      </w:r>
      <w:proofErr w:type="spellEnd"/>
      <w:r w:rsidRPr="00353F2F">
        <w:rPr>
          <w:rFonts w:ascii="Times New Roman" w:hAnsi="Times New Roman" w:cs="Times New Roman"/>
          <w:sz w:val="24"/>
          <w:szCs w:val="24"/>
        </w:rPr>
        <w:t>, approaching the subject from a financial engineering standpoint that emphasizes the structuring of project finance transactions as asset-based financial instruments. Finnerty's analysis of the risk allocation function of project finance contracts, demonstrating how the contractual architecture of a project finance transaction distributes identified risks among project participants through specialized contract forms including fixed-price construction contracts, long-term offtake agreements, and debt service coverage mechanisms, provides an essential framework for understanding how contractual governance interacts with corporate governance in managing project risk.</w:t>
      </w:r>
      <w:r w:rsidRPr="00353F2F">
        <w:rPr>
          <w:rStyle w:val="FootnoteReference"/>
          <w:rFonts w:ascii="Times New Roman" w:hAnsi="Times New Roman" w:cs="Times New Roman"/>
          <w:sz w:val="24"/>
          <w:szCs w:val="24"/>
        </w:rPr>
        <w:footnoteReference w:id="124"/>
      </w:r>
      <w:r w:rsidRPr="00353F2F">
        <w:rPr>
          <w:rFonts w:ascii="Times New Roman" w:hAnsi="Times New Roman" w:cs="Times New Roman"/>
          <w:sz w:val="24"/>
          <w:szCs w:val="24"/>
        </w:rPr>
        <w:t xml:space="preserve"> His treatment of project finance security arrangements, including the package of mortgages, charges, assignments, and pledges that lenders require as security for their exposure, is directly relevant to the bankability analysis of this thesis, as the adequacy of the security package is a critical determinant of lender appetite for individual project </w:t>
      </w:r>
      <w:r w:rsidRPr="00353F2F">
        <w:rPr>
          <w:rFonts w:ascii="Times New Roman" w:hAnsi="Times New Roman" w:cs="Times New Roman"/>
          <w:sz w:val="24"/>
          <w:szCs w:val="24"/>
        </w:rPr>
        <w:lastRenderedPageBreak/>
        <w:t>finance transactions.</w:t>
      </w:r>
      <w:r w:rsidRPr="00353F2F">
        <w:rPr>
          <w:rStyle w:val="FootnoteReference"/>
          <w:rFonts w:ascii="Times New Roman" w:hAnsi="Times New Roman" w:cs="Times New Roman"/>
          <w:sz w:val="24"/>
          <w:szCs w:val="24"/>
        </w:rPr>
        <w:footnoteReference w:id="125"/>
      </w:r>
      <w:r w:rsidRPr="00353F2F">
        <w:rPr>
          <w:rFonts w:ascii="Times New Roman" w:hAnsi="Times New Roman" w:cs="Times New Roman"/>
          <w:sz w:val="24"/>
          <w:szCs w:val="24"/>
        </w:rPr>
        <w:t xml:space="preserve"> Finnerty's analysis of the SPV structure as a governance device, demonstrating how the ring-fencing of project assets and cash flows within a legally independent vehicle disciplines management behavior and protects lender interests, provides important analytical context for the examination of SPV governance in Nigerian project finance transactions and for understanding how structural governance mechanisms interact with the corporate governance arrangements of the project company.</w:t>
      </w:r>
      <w:r w:rsidRPr="00353F2F">
        <w:rPr>
          <w:rStyle w:val="FootnoteReference"/>
          <w:rFonts w:ascii="Times New Roman" w:hAnsi="Times New Roman" w:cs="Times New Roman"/>
          <w:sz w:val="24"/>
          <w:szCs w:val="24"/>
        </w:rPr>
        <w:footnoteReference w:id="126"/>
      </w:r>
    </w:p>
    <w:p w14:paraId="7A209B92"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Geoffrey </w:t>
      </w:r>
      <w:proofErr w:type="spellStart"/>
      <w:r w:rsidRPr="00353F2F">
        <w:rPr>
          <w:rFonts w:ascii="Times New Roman" w:hAnsi="Times New Roman" w:cs="Times New Roman"/>
          <w:sz w:val="24"/>
          <w:szCs w:val="24"/>
        </w:rPr>
        <w:t>Vinter</w:t>
      </w:r>
      <w:proofErr w:type="spellEnd"/>
      <w:r w:rsidRPr="00353F2F">
        <w:rPr>
          <w:rFonts w:ascii="Times New Roman" w:hAnsi="Times New Roman" w:cs="Times New Roman"/>
          <w:sz w:val="24"/>
          <w:szCs w:val="24"/>
        </w:rPr>
        <w:t xml:space="preserve"> and Gareth Price's</w:t>
      </w:r>
      <w:r w:rsidRPr="00353F2F">
        <w:rPr>
          <w:rStyle w:val="FootnoteReference"/>
          <w:rFonts w:ascii="Times New Roman" w:hAnsi="Times New Roman" w:cs="Times New Roman"/>
          <w:sz w:val="24"/>
          <w:szCs w:val="24"/>
        </w:rPr>
        <w:footnoteReference w:id="127"/>
      </w:r>
      <w:r w:rsidRPr="00353F2F">
        <w:rPr>
          <w:rFonts w:ascii="Times New Roman" w:hAnsi="Times New Roman" w:cs="Times New Roman"/>
          <w:sz w:val="24"/>
          <w:szCs w:val="24"/>
        </w:rPr>
        <w:t xml:space="preserve"> Project Finance: A Legal Guide is the authoritative practitioner text on the legal dimensions of project finance in the English common law tradition, providing a systematic and detailed analysis of the contractual documents, legal principles, and regulatory frameworks that govern project finance transactions. </w:t>
      </w:r>
      <w:proofErr w:type="spellStart"/>
      <w:r w:rsidRPr="00353F2F">
        <w:rPr>
          <w:rFonts w:ascii="Times New Roman" w:hAnsi="Times New Roman" w:cs="Times New Roman"/>
          <w:sz w:val="24"/>
          <w:szCs w:val="24"/>
        </w:rPr>
        <w:t>Vinter</w:t>
      </w:r>
      <w:proofErr w:type="spellEnd"/>
      <w:r w:rsidRPr="00353F2F">
        <w:rPr>
          <w:rFonts w:ascii="Times New Roman" w:hAnsi="Times New Roman" w:cs="Times New Roman"/>
          <w:sz w:val="24"/>
          <w:szCs w:val="24"/>
        </w:rPr>
        <w:t xml:space="preserve"> and Price's analysis of the project finance documentation suite, including the concession agreement, the construction contract, the offtake agreement, the financing documents, and the direct agreements, illuminates the contractual mechanisms through which risk is allocated, governance obligations are imposed, and lender monitoring rights are established in a project finance transaction.</w:t>
      </w:r>
      <w:r w:rsidRPr="00353F2F">
        <w:rPr>
          <w:rStyle w:val="FootnoteReference"/>
          <w:rFonts w:ascii="Times New Roman" w:hAnsi="Times New Roman" w:cs="Times New Roman"/>
          <w:sz w:val="24"/>
          <w:szCs w:val="24"/>
        </w:rPr>
        <w:footnoteReference w:id="128"/>
      </w:r>
      <w:r w:rsidRPr="00353F2F">
        <w:rPr>
          <w:rFonts w:ascii="Times New Roman" w:hAnsi="Times New Roman" w:cs="Times New Roman"/>
          <w:sz w:val="24"/>
          <w:szCs w:val="24"/>
        </w:rPr>
        <w:t xml:space="preserve"> Their treatment of defaults, enforcement, and lender step-in rights is particularly important for the risk mitigation analysis of this thesis, demonstrating how the contractual governance framework of a project finance transaction provides lenders with the legal tools to intervene in project management when governance or performance failures threaten debt service.</w:t>
      </w:r>
      <w:r w:rsidRPr="00353F2F">
        <w:rPr>
          <w:rStyle w:val="FootnoteReference"/>
          <w:rFonts w:ascii="Times New Roman" w:hAnsi="Times New Roman" w:cs="Times New Roman"/>
          <w:sz w:val="24"/>
          <w:szCs w:val="24"/>
        </w:rPr>
        <w:footnoteReference w:id="129"/>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Vinter</w:t>
      </w:r>
      <w:proofErr w:type="spellEnd"/>
      <w:r w:rsidRPr="00353F2F">
        <w:rPr>
          <w:rFonts w:ascii="Times New Roman" w:hAnsi="Times New Roman" w:cs="Times New Roman"/>
          <w:sz w:val="24"/>
          <w:szCs w:val="24"/>
        </w:rPr>
        <w:t xml:space="preserve"> and Price's comparative analysis of project finance legal frameworks across different common law jurisdictions provides </w:t>
      </w:r>
      <w:r w:rsidRPr="00353F2F">
        <w:rPr>
          <w:rFonts w:ascii="Times New Roman" w:hAnsi="Times New Roman" w:cs="Times New Roman"/>
          <w:sz w:val="24"/>
          <w:szCs w:val="24"/>
        </w:rPr>
        <w:lastRenderedPageBreak/>
        <w:t>useful context for evaluating the adequacy of the Nigerian legal framework for project finance governance, including the enforcement of security interests, the recognition of SPV structures, and the enforceability of project contracts, all of which are areas where the Nigerian legal framework presents challenges that the present thesis examines.</w:t>
      </w:r>
      <w:r w:rsidRPr="00353F2F">
        <w:rPr>
          <w:rStyle w:val="FootnoteReference"/>
          <w:rFonts w:ascii="Times New Roman" w:hAnsi="Times New Roman" w:cs="Times New Roman"/>
          <w:sz w:val="24"/>
          <w:szCs w:val="24"/>
        </w:rPr>
        <w:footnoteReference w:id="130"/>
      </w:r>
    </w:p>
    <w:p w14:paraId="4FFD1711"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Stefano </w:t>
      </w:r>
      <w:proofErr w:type="spellStart"/>
      <w:r w:rsidRPr="00353F2F">
        <w:rPr>
          <w:rFonts w:ascii="Times New Roman" w:hAnsi="Times New Roman" w:cs="Times New Roman"/>
          <w:sz w:val="24"/>
          <w:szCs w:val="24"/>
        </w:rPr>
        <w:t>Gatti's</w:t>
      </w:r>
      <w:proofErr w:type="spellEnd"/>
      <w:r w:rsidRPr="00353F2F">
        <w:rPr>
          <w:rStyle w:val="FootnoteReference"/>
          <w:rFonts w:ascii="Times New Roman" w:hAnsi="Times New Roman" w:cs="Times New Roman"/>
          <w:sz w:val="24"/>
          <w:szCs w:val="24"/>
        </w:rPr>
        <w:footnoteReference w:id="131"/>
      </w:r>
      <w:r w:rsidRPr="00353F2F">
        <w:rPr>
          <w:rFonts w:ascii="Times New Roman" w:hAnsi="Times New Roman" w:cs="Times New Roman"/>
          <w:sz w:val="24"/>
          <w:szCs w:val="24"/>
        </w:rPr>
        <w:t xml:space="preserve"> Project Finance in Theory and Practice provides the most sophisticated integration of theoretical and practical perspectives on project finance, drawing on corporate finance theory and institutional economics to construct a comprehensive analytical framework for understanding the project finance structure as an institutional response to the governance challenges of large infrastructure investment. </w:t>
      </w:r>
      <w:proofErr w:type="spellStart"/>
      <w:r w:rsidRPr="00353F2F">
        <w:rPr>
          <w:rFonts w:ascii="Times New Roman" w:hAnsi="Times New Roman" w:cs="Times New Roman"/>
          <w:sz w:val="24"/>
          <w:szCs w:val="24"/>
        </w:rPr>
        <w:t>Gatti's</w:t>
      </w:r>
      <w:proofErr w:type="spellEnd"/>
      <w:r w:rsidRPr="00353F2F">
        <w:rPr>
          <w:rFonts w:ascii="Times New Roman" w:hAnsi="Times New Roman" w:cs="Times New Roman"/>
          <w:sz w:val="24"/>
          <w:szCs w:val="24"/>
        </w:rPr>
        <w:t xml:space="preserve"> analysis of the governance function of debt covenants, demonstrating how the information undertakings, financial maintenance covenants, and restricted payment provisions embedded in project finance loan agreements serve as real-time governance mechanisms that constrain management discretion and provide lenders with advance warning of deteriorating project performance, is particularly valuable for this thesis.</w:t>
      </w:r>
      <w:r w:rsidRPr="00353F2F">
        <w:rPr>
          <w:rStyle w:val="FootnoteReference"/>
          <w:rFonts w:ascii="Times New Roman" w:hAnsi="Times New Roman" w:cs="Times New Roman"/>
          <w:sz w:val="24"/>
          <w:szCs w:val="24"/>
        </w:rPr>
        <w:footnoteReference w:id="132"/>
      </w:r>
      <w:r w:rsidRPr="00353F2F">
        <w:rPr>
          <w:rFonts w:ascii="Times New Roman" w:hAnsi="Times New Roman" w:cs="Times New Roman"/>
          <w:sz w:val="24"/>
          <w:szCs w:val="24"/>
        </w:rPr>
        <w:t xml:space="preserve"> His empirical analysis of the determinants of project finance pricing provides direct empirical support for the thesis that governance quality, as proxied by country-level indicators of legal system quality, regulatory effectiveness, and political stability, is a significant and robust determinant of the interest rate spread demanded by project finance lenders.</w:t>
      </w:r>
      <w:r w:rsidRPr="00353F2F">
        <w:rPr>
          <w:rStyle w:val="FootnoteReference"/>
          <w:rFonts w:ascii="Times New Roman" w:hAnsi="Times New Roman" w:cs="Times New Roman"/>
          <w:sz w:val="24"/>
          <w:szCs w:val="24"/>
        </w:rPr>
        <w:footnoteReference w:id="133"/>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Gatti's</w:t>
      </w:r>
      <w:proofErr w:type="spellEnd"/>
      <w:r w:rsidRPr="00353F2F">
        <w:rPr>
          <w:rFonts w:ascii="Times New Roman" w:hAnsi="Times New Roman" w:cs="Times New Roman"/>
          <w:sz w:val="24"/>
          <w:szCs w:val="24"/>
        </w:rPr>
        <w:t xml:space="preserve"> treatment of the role of development finance institutions in project finance transactions, and their function as governance monitors and political risk mitigants in high-risk jurisdictions, provides important context for understanding the participation of institutions such as the African Development Bank and the </w:t>
      </w:r>
      <w:r w:rsidRPr="00353F2F">
        <w:rPr>
          <w:rFonts w:ascii="Times New Roman" w:hAnsi="Times New Roman" w:cs="Times New Roman"/>
          <w:sz w:val="24"/>
          <w:szCs w:val="24"/>
        </w:rPr>
        <w:lastRenderedPageBreak/>
        <w:t>International Finance Corporation in Nigerian project finance transactions and the governance improvements their participation requires of project companies.</w:t>
      </w:r>
      <w:r w:rsidRPr="00353F2F">
        <w:rPr>
          <w:rStyle w:val="FootnoteReference"/>
          <w:rFonts w:ascii="Times New Roman" w:hAnsi="Times New Roman" w:cs="Times New Roman"/>
          <w:sz w:val="24"/>
          <w:szCs w:val="24"/>
        </w:rPr>
        <w:footnoteReference w:id="134"/>
      </w:r>
    </w:p>
    <w:p w14:paraId="3B6AB7B9"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Benjamin Esty's</w:t>
      </w:r>
      <w:r w:rsidRPr="00353F2F">
        <w:rPr>
          <w:rStyle w:val="FootnoteReference"/>
          <w:rFonts w:ascii="Times New Roman" w:hAnsi="Times New Roman" w:cs="Times New Roman"/>
          <w:sz w:val="24"/>
          <w:szCs w:val="24"/>
        </w:rPr>
        <w:footnoteReference w:id="135"/>
      </w:r>
      <w:r w:rsidRPr="00353F2F">
        <w:rPr>
          <w:rFonts w:ascii="Times New Roman" w:hAnsi="Times New Roman" w:cs="Times New Roman"/>
          <w:sz w:val="24"/>
          <w:szCs w:val="24"/>
        </w:rPr>
        <w:t xml:space="preserve"> empirical study of large project finance transactions is among the most rigorously grounded contributions to the project finance literature, applying agency theory, transaction cost economics, and contract theory to a large sample of international project finance transactions. Esty demonstrates that the project finance structure generates governance benefits by concentrating ownership and monitoring rights in a small number of highly leveraged lenders with strong enforcement rights, reducing the agency costs of large capital investments and making the project finance structure a rational institutional response to the governance challenges of assets characterized by high specificity, high uncertainty, and significant potential for managerial opportunism.</w:t>
      </w:r>
      <w:r w:rsidRPr="00353F2F">
        <w:rPr>
          <w:rStyle w:val="FootnoteReference"/>
          <w:rFonts w:ascii="Times New Roman" w:hAnsi="Times New Roman" w:cs="Times New Roman"/>
          <w:sz w:val="24"/>
          <w:szCs w:val="24"/>
        </w:rPr>
        <w:footnoteReference w:id="136"/>
      </w:r>
      <w:r w:rsidRPr="00353F2F">
        <w:rPr>
          <w:rFonts w:ascii="Times New Roman" w:hAnsi="Times New Roman" w:cs="Times New Roman"/>
          <w:sz w:val="24"/>
          <w:szCs w:val="24"/>
        </w:rPr>
        <w:t xml:space="preserve"> His finding that project finance transactions demonstrate systematically different governance structures from corporate balance-sheet financing — with more concentrated lender ownership, stronger monitoring covenants, and more robust enforcement provisions — provides empirical support for the proposition that the governance characteristics of the financing structure directly affect the risk profile of the investment.</w:t>
      </w:r>
      <w:r w:rsidRPr="00353F2F">
        <w:rPr>
          <w:rStyle w:val="FootnoteReference"/>
          <w:rFonts w:ascii="Times New Roman" w:hAnsi="Times New Roman" w:cs="Times New Roman"/>
          <w:sz w:val="24"/>
          <w:szCs w:val="24"/>
        </w:rPr>
        <w:footnoteReference w:id="137"/>
      </w:r>
      <w:r w:rsidRPr="00353F2F">
        <w:rPr>
          <w:rFonts w:ascii="Times New Roman" w:hAnsi="Times New Roman" w:cs="Times New Roman"/>
          <w:sz w:val="24"/>
          <w:szCs w:val="24"/>
        </w:rPr>
        <w:t xml:space="preserve"> Esty's work is particularly valuable for this thesis because it provides a theoretical and empirical framework for analyzing how the governance architecture of project finance transactions, including the legal, contractual, and structural mechanisms through which governance standards are imposed and monitored, affects project </w:t>
      </w:r>
      <w:r w:rsidRPr="00353F2F">
        <w:rPr>
          <w:rFonts w:ascii="Times New Roman" w:hAnsi="Times New Roman" w:cs="Times New Roman"/>
          <w:sz w:val="24"/>
          <w:szCs w:val="24"/>
        </w:rPr>
        <w:lastRenderedPageBreak/>
        <w:t>outcomes, a framework that the thesis applies to the specific characteristics of the Nigerian project finance environment.</w:t>
      </w:r>
    </w:p>
    <w:p w14:paraId="0817182A"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joint work of Esty and Megginson</w:t>
      </w:r>
      <w:r w:rsidRPr="00353F2F">
        <w:rPr>
          <w:rStyle w:val="FootnoteReference"/>
          <w:rFonts w:ascii="Times New Roman" w:hAnsi="Times New Roman" w:cs="Times New Roman"/>
          <w:sz w:val="24"/>
          <w:szCs w:val="24"/>
        </w:rPr>
        <w:footnoteReference w:id="138"/>
      </w:r>
      <w:r w:rsidRPr="00353F2F">
        <w:rPr>
          <w:rFonts w:ascii="Times New Roman" w:hAnsi="Times New Roman" w:cs="Times New Roman"/>
          <w:sz w:val="24"/>
          <w:szCs w:val="24"/>
        </w:rPr>
        <w:t xml:space="preserve"> on creditor rights and debt ownership structure in the global syndicated loan market provides some of the most compelling empirical evidence on how the quality of the legal and governance environment affects the structure and pricing of project finance debt. Their finding that projects in jurisdictions with weaker creditor rights attract smaller, more concentrated lender syndicates, because the monitoring and enforcement costs of participating in a large, dispersed syndicate are prohibitively high when creditor rights cannot be efficiently enforced, and pay higher interest rate spreads directly applicable to the Nigerian context, where creditor right enforcement challenges are significant.</w:t>
      </w:r>
      <w:r w:rsidRPr="00353F2F">
        <w:rPr>
          <w:rStyle w:val="FootnoteReference"/>
          <w:rFonts w:ascii="Times New Roman" w:hAnsi="Times New Roman" w:cs="Times New Roman"/>
          <w:sz w:val="24"/>
          <w:szCs w:val="24"/>
        </w:rPr>
        <w:footnoteReference w:id="139"/>
      </w:r>
      <w:r w:rsidRPr="00353F2F">
        <w:rPr>
          <w:rFonts w:ascii="Times New Roman" w:hAnsi="Times New Roman" w:cs="Times New Roman"/>
          <w:sz w:val="24"/>
          <w:szCs w:val="24"/>
        </w:rPr>
        <w:t xml:space="preserve"> Their analysis of the interaction between project governance, legal system quality, and the cost of project finance capital provides one of the most compelling empirical demonstrations in the literature of the direct economic significance of governance quality for project bankability, providing the empirical foundation for the central argument of this thesis that governance improvement generates measurable and quantifiable improvements in Nigerian project bankability.</w:t>
      </w:r>
      <w:r w:rsidRPr="00353F2F">
        <w:rPr>
          <w:rStyle w:val="FootnoteReference"/>
          <w:rFonts w:ascii="Times New Roman" w:hAnsi="Times New Roman" w:cs="Times New Roman"/>
          <w:sz w:val="24"/>
          <w:szCs w:val="24"/>
        </w:rPr>
        <w:footnoteReference w:id="140"/>
      </w:r>
    </w:p>
    <w:p w14:paraId="7906C292"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Joseph </w:t>
      </w:r>
      <w:proofErr w:type="spellStart"/>
      <w:r w:rsidRPr="00353F2F">
        <w:rPr>
          <w:rFonts w:ascii="Times New Roman" w:hAnsi="Times New Roman" w:cs="Times New Roman"/>
          <w:sz w:val="24"/>
          <w:szCs w:val="24"/>
        </w:rPr>
        <w:t>Abugu's</w:t>
      </w:r>
      <w:proofErr w:type="spellEnd"/>
      <w:r w:rsidRPr="00353F2F">
        <w:rPr>
          <w:rStyle w:val="FootnoteReference"/>
          <w:rFonts w:ascii="Times New Roman" w:hAnsi="Times New Roman" w:cs="Times New Roman"/>
          <w:sz w:val="24"/>
          <w:szCs w:val="24"/>
        </w:rPr>
        <w:footnoteReference w:id="141"/>
      </w:r>
      <w:r w:rsidRPr="00353F2F">
        <w:rPr>
          <w:rFonts w:ascii="Times New Roman" w:hAnsi="Times New Roman" w:cs="Times New Roman"/>
          <w:sz w:val="24"/>
          <w:szCs w:val="24"/>
        </w:rPr>
        <w:t xml:space="preserve"> monograph on corporate governance law in Nigeria represents the most comprehensive domestic legal treatment of the subject, providing a systematic analysis of the statutory, regulatory, and common law framework governing corporate governance in Nigeria. </w:t>
      </w:r>
      <w:proofErr w:type="spellStart"/>
      <w:r w:rsidRPr="00353F2F">
        <w:rPr>
          <w:rFonts w:ascii="Times New Roman" w:hAnsi="Times New Roman" w:cs="Times New Roman"/>
          <w:sz w:val="24"/>
          <w:szCs w:val="24"/>
        </w:rPr>
        <w:t>Abugu</w:t>
      </w:r>
      <w:proofErr w:type="spellEnd"/>
      <w:r w:rsidRPr="00353F2F">
        <w:rPr>
          <w:rFonts w:ascii="Times New Roman" w:hAnsi="Times New Roman" w:cs="Times New Roman"/>
          <w:sz w:val="24"/>
          <w:szCs w:val="24"/>
        </w:rPr>
        <w:t xml:space="preserve"> traces the evolution of Nigerian corporate governance law from the colonial-era Companies </w:t>
      </w:r>
      <w:r w:rsidRPr="00353F2F">
        <w:rPr>
          <w:rFonts w:ascii="Times New Roman" w:hAnsi="Times New Roman" w:cs="Times New Roman"/>
          <w:sz w:val="24"/>
          <w:szCs w:val="24"/>
        </w:rPr>
        <w:lastRenderedPageBreak/>
        <w:t>Ordinance through the successive iterations of the Companies and Allied Matters Act to the landmark 2020 revision, demonstrating how the Nigerian legislative framework has progressively incorporated international governance best practices while retaining distinctive features adapted to the Nigerian corporate environment.</w:t>
      </w:r>
      <w:r w:rsidRPr="00353F2F">
        <w:rPr>
          <w:rStyle w:val="FootnoteReference"/>
          <w:rFonts w:ascii="Times New Roman" w:hAnsi="Times New Roman" w:cs="Times New Roman"/>
          <w:sz w:val="24"/>
          <w:szCs w:val="24"/>
        </w:rPr>
        <w:footnoteReference w:id="142"/>
      </w:r>
      <w:r w:rsidRPr="00353F2F">
        <w:rPr>
          <w:rFonts w:ascii="Times New Roman" w:hAnsi="Times New Roman" w:cs="Times New Roman"/>
          <w:sz w:val="24"/>
          <w:szCs w:val="24"/>
        </w:rPr>
        <w:t xml:space="preserve"> His analysis of the duties and responsibilities of directors under Nigerian law, encompassing the duty of loyalty, the duty of care and skill, and the duty to avoid conflicts of interest, provides the legal foundation for understanding the governance obligations of directors in Nigerian project companies and the enforcement mechanisms available to lenders and investors when those obligations are breached.</w:t>
      </w:r>
      <w:r w:rsidRPr="00353F2F">
        <w:rPr>
          <w:rStyle w:val="FootnoteReference"/>
          <w:rFonts w:ascii="Times New Roman" w:hAnsi="Times New Roman" w:cs="Times New Roman"/>
          <w:sz w:val="24"/>
          <w:szCs w:val="24"/>
        </w:rPr>
        <w:footnoteReference w:id="143"/>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Abugu's</w:t>
      </w:r>
      <w:proofErr w:type="spellEnd"/>
      <w:r w:rsidRPr="00353F2F">
        <w:rPr>
          <w:rFonts w:ascii="Times New Roman" w:hAnsi="Times New Roman" w:cs="Times New Roman"/>
          <w:sz w:val="24"/>
          <w:szCs w:val="24"/>
        </w:rPr>
        <w:t xml:space="preserve"> critical assessment of the Nigerian Code of Corporate Governance 2018, analyzing its innovations relative to the earlier 2011 Code and identifying its strengths and limitations as a governance reform instrument, is particularly valuable for situating the regulatory framework within which Nigerian project finance governance operates.</w:t>
      </w:r>
      <w:r w:rsidRPr="00353F2F">
        <w:rPr>
          <w:rStyle w:val="FootnoteReference"/>
          <w:rFonts w:ascii="Times New Roman" w:hAnsi="Times New Roman" w:cs="Times New Roman"/>
          <w:sz w:val="24"/>
          <w:szCs w:val="24"/>
        </w:rPr>
        <w:footnoteReference w:id="144"/>
      </w:r>
      <w:r w:rsidRPr="00353F2F">
        <w:rPr>
          <w:rFonts w:ascii="Times New Roman" w:hAnsi="Times New Roman" w:cs="Times New Roman"/>
          <w:sz w:val="24"/>
          <w:szCs w:val="24"/>
        </w:rPr>
        <w:t xml:space="preserve"> His analysis of compliance mechanisms and enforcement challenges,  noting the persistent gap between formal governance rules and substantive governance practice in many Nigerian companies, provides important context for understanding why governance reforms that are theoretically sound may fail to translate into improved project outcomes in the Nigerian empirical context. This gap between formal and substantive compliance constitutes one of the central problems that this thesis seeks to analyze and address.</w:t>
      </w:r>
      <w:r w:rsidRPr="00353F2F">
        <w:rPr>
          <w:rStyle w:val="FootnoteReference"/>
          <w:rFonts w:ascii="Times New Roman" w:hAnsi="Times New Roman" w:cs="Times New Roman"/>
          <w:sz w:val="24"/>
          <w:szCs w:val="24"/>
        </w:rPr>
        <w:footnoteReference w:id="145"/>
      </w:r>
    </w:p>
    <w:p w14:paraId="1363478A"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Emmanuel </w:t>
      </w:r>
      <w:proofErr w:type="spellStart"/>
      <w:r w:rsidRPr="00353F2F">
        <w:rPr>
          <w:rFonts w:ascii="Times New Roman" w:hAnsi="Times New Roman" w:cs="Times New Roman"/>
          <w:sz w:val="24"/>
          <w:szCs w:val="24"/>
        </w:rPr>
        <w:t>Okike's</w:t>
      </w:r>
      <w:proofErr w:type="spellEnd"/>
      <w:r w:rsidRPr="00353F2F">
        <w:rPr>
          <w:rStyle w:val="FootnoteReference"/>
          <w:rFonts w:ascii="Times New Roman" w:hAnsi="Times New Roman" w:cs="Times New Roman"/>
          <w:sz w:val="24"/>
          <w:szCs w:val="24"/>
        </w:rPr>
        <w:footnoteReference w:id="146"/>
      </w:r>
      <w:r w:rsidRPr="00353F2F">
        <w:rPr>
          <w:rFonts w:ascii="Times New Roman" w:hAnsi="Times New Roman" w:cs="Times New Roman"/>
          <w:sz w:val="24"/>
          <w:szCs w:val="24"/>
        </w:rPr>
        <w:t xml:space="preserve"> 2007 article on corporate governance in Nigeria, published in Corporate Governance: An International Review, provides the most influential early empirical assessment of </w:t>
      </w:r>
      <w:r w:rsidRPr="00353F2F">
        <w:rPr>
          <w:rFonts w:ascii="Times New Roman" w:hAnsi="Times New Roman" w:cs="Times New Roman"/>
          <w:sz w:val="24"/>
          <w:szCs w:val="24"/>
        </w:rPr>
        <w:lastRenderedPageBreak/>
        <w:t xml:space="preserve">governance practice in Nigeria, drawing on survey data and case study evidence to evaluate the effectiveness of governance institutions in Nigerian companies. </w:t>
      </w:r>
      <w:proofErr w:type="spellStart"/>
      <w:r w:rsidRPr="00353F2F">
        <w:rPr>
          <w:rFonts w:ascii="Times New Roman" w:hAnsi="Times New Roman" w:cs="Times New Roman"/>
          <w:sz w:val="24"/>
          <w:szCs w:val="24"/>
        </w:rPr>
        <w:t>Okike</w:t>
      </w:r>
      <w:proofErr w:type="spellEnd"/>
      <w:r w:rsidRPr="00353F2F">
        <w:rPr>
          <w:rFonts w:ascii="Times New Roman" w:hAnsi="Times New Roman" w:cs="Times New Roman"/>
          <w:sz w:val="24"/>
          <w:szCs w:val="24"/>
        </w:rPr>
        <w:t xml:space="preserve"> identifies a fundamental dichotomy between the formal governance architecture of Nigerian companies, which on paper increasingly conforms to international standards of board independence, audit committee oversight, and financial disclosure, and the substantive reality of governance practice, which continues to be shaped by deep-rooted informalities including family ownership concentration, political patronage, and personal relationships between board members and executive management.</w:t>
      </w:r>
      <w:r w:rsidRPr="00353F2F">
        <w:rPr>
          <w:rStyle w:val="FootnoteReference"/>
          <w:rFonts w:ascii="Times New Roman" w:hAnsi="Times New Roman" w:cs="Times New Roman"/>
          <w:sz w:val="24"/>
          <w:szCs w:val="24"/>
        </w:rPr>
        <w:footnoteReference w:id="147"/>
      </w:r>
      <w:r w:rsidRPr="00353F2F">
        <w:rPr>
          <w:rFonts w:ascii="Times New Roman" w:hAnsi="Times New Roman" w:cs="Times New Roman"/>
          <w:sz w:val="24"/>
          <w:szCs w:val="24"/>
        </w:rPr>
        <w:t xml:space="preserve"> His analysis of the role of the external audit in Nigerian corporate governance is particularly searching, documenting systemic weaknesses including limited auditor independence, inadequate professional skepticism, and the pervasive influence of client relationships on audit quality — weaknesses that undermine the reliability of financial reporting as a governance mechanism.</w:t>
      </w:r>
      <w:r w:rsidRPr="00353F2F">
        <w:rPr>
          <w:rStyle w:val="FootnoteReference"/>
          <w:rFonts w:ascii="Times New Roman" w:hAnsi="Times New Roman" w:cs="Times New Roman"/>
          <w:sz w:val="24"/>
          <w:szCs w:val="24"/>
        </w:rPr>
        <w:footnoteReference w:id="148"/>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Okike's</w:t>
      </w:r>
      <w:proofErr w:type="spellEnd"/>
      <w:r w:rsidRPr="00353F2F">
        <w:rPr>
          <w:rFonts w:ascii="Times New Roman" w:hAnsi="Times New Roman" w:cs="Times New Roman"/>
          <w:sz w:val="24"/>
          <w:szCs w:val="24"/>
        </w:rPr>
        <w:t xml:space="preserve"> findings on the limited effectiveness of regulatory enforcement in constraining governance violations identify the institutional infrastructure deficiencies that most severely constrain the effectiveness of Nigerian corporate governance reforms, providing a sobering empirical counterpoint to optimistic accounts of governance progress in Nigeria.</w:t>
      </w:r>
      <w:r w:rsidRPr="00353F2F">
        <w:rPr>
          <w:rStyle w:val="FootnoteReference"/>
          <w:rFonts w:ascii="Times New Roman" w:hAnsi="Times New Roman" w:cs="Times New Roman"/>
          <w:sz w:val="24"/>
          <w:szCs w:val="24"/>
        </w:rPr>
        <w:footnoteReference w:id="149"/>
      </w:r>
    </w:p>
    <w:p w14:paraId="62BC2D35"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Boniface </w:t>
      </w:r>
      <w:proofErr w:type="spellStart"/>
      <w:r w:rsidRPr="00353F2F">
        <w:rPr>
          <w:rFonts w:ascii="Times New Roman" w:hAnsi="Times New Roman" w:cs="Times New Roman"/>
          <w:sz w:val="24"/>
          <w:szCs w:val="24"/>
        </w:rPr>
        <w:t>Ahunwan's</w:t>
      </w:r>
      <w:proofErr w:type="spellEnd"/>
      <w:r w:rsidRPr="00353F2F">
        <w:rPr>
          <w:rStyle w:val="FootnoteReference"/>
          <w:rFonts w:ascii="Times New Roman" w:hAnsi="Times New Roman" w:cs="Times New Roman"/>
          <w:sz w:val="24"/>
          <w:szCs w:val="24"/>
        </w:rPr>
        <w:footnoteReference w:id="150"/>
      </w:r>
      <w:r w:rsidRPr="00353F2F">
        <w:rPr>
          <w:rFonts w:ascii="Times New Roman" w:hAnsi="Times New Roman" w:cs="Times New Roman"/>
          <w:sz w:val="24"/>
          <w:szCs w:val="24"/>
        </w:rPr>
        <w:t xml:space="preserve"> article on corporate governance in Nigeria provides a valuable historical perspective on the development of governance institutions in Nigeria, situating contemporary governance challenges within the broader context of Nigeria's colonial legacy, political history, and the distinctive features of the Nigerian business environment. </w:t>
      </w:r>
      <w:proofErr w:type="spellStart"/>
      <w:r w:rsidRPr="00353F2F">
        <w:rPr>
          <w:rFonts w:ascii="Times New Roman" w:hAnsi="Times New Roman" w:cs="Times New Roman"/>
          <w:sz w:val="24"/>
          <w:szCs w:val="24"/>
        </w:rPr>
        <w:t>Ahunwan</w:t>
      </w:r>
      <w:proofErr w:type="spellEnd"/>
      <w:r w:rsidRPr="00353F2F">
        <w:rPr>
          <w:rFonts w:ascii="Times New Roman" w:hAnsi="Times New Roman" w:cs="Times New Roman"/>
          <w:sz w:val="24"/>
          <w:szCs w:val="24"/>
        </w:rPr>
        <w:t xml:space="preserve"> argues that Nigerian corporate governance has been shaped by a complex interaction of formal legal transplants from </w:t>
      </w:r>
      <w:r w:rsidRPr="00353F2F">
        <w:rPr>
          <w:rFonts w:ascii="Times New Roman" w:hAnsi="Times New Roman" w:cs="Times New Roman"/>
          <w:sz w:val="24"/>
          <w:szCs w:val="24"/>
        </w:rPr>
        <w:lastRenderedPageBreak/>
        <w:t>English company law, informal institutional legacies from pre-colonial governance traditions, and the distorting influence of the oil economy on corporate incentive structures.</w:t>
      </w:r>
      <w:r w:rsidRPr="00353F2F">
        <w:rPr>
          <w:rStyle w:val="FootnoteReference"/>
          <w:rFonts w:ascii="Times New Roman" w:hAnsi="Times New Roman" w:cs="Times New Roman"/>
          <w:sz w:val="24"/>
          <w:szCs w:val="24"/>
        </w:rPr>
        <w:footnoteReference w:id="151"/>
      </w:r>
      <w:r w:rsidRPr="00353F2F">
        <w:rPr>
          <w:rFonts w:ascii="Times New Roman" w:hAnsi="Times New Roman" w:cs="Times New Roman"/>
          <w:sz w:val="24"/>
          <w:szCs w:val="24"/>
        </w:rPr>
        <w:t xml:space="preserve"> His analysis of the governance implications of concentrated ownership, particularly the pervasive pattern of family-controlled and politically connected companies that characterizes large segments of the Nigerian corporate sector, demonstrates how ownership structure affects the effectiveness of governance mechanisms and the reliability of governance standards in Nigerian companies.</w:t>
      </w:r>
      <w:r w:rsidRPr="00353F2F">
        <w:rPr>
          <w:rStyle w:val="FootnoteReference"/>
          <w:rFonts w:ascii="Times New Roman" w:hAnsi="Times New Roman" w:cs="Times New Roman"/>
          <w:sz w:val="24"/>
          <w:szCs w:val="24"/>
        </w:rPr>
        <w:footnoteReference w:id="152"/>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Ahunwan's</w:t>
      </w:r>
      <w:proofErr w:type="spellEnd"/>
      <w:r w:rsidRPr="00353F2F">
        <w:rPr>
          <w:rFonts w:ascii="Times New Roman" w:hAnsi="Times New Roman" w:cs="Times New Roman"/>
          <w:sz w:val="24"/>
          <w:szCs w:val="24"/>
        </w:rPr>
        <w:t xml:space="preserve"> prescient identification of anti-corruption, transparency, and regulatory independence as the most critical institutional prerequisites for effective corporate governance in Nigeria anticipates the trajectory of subsequent governance reform efforts and remains highly relevant to the contemporary governance challenges that this thesis examines.</w:t>
      </w:r>
      <w:r w:rsidRPr="00353F2F">
        <w:rPr>
          <w:rStyle w:val="FootnoteReference"/>
          <w:rFonts w:ascii="Times New Roman" w:hAnsi="Times New Roman" w:cs="Times New Roman"/>
          <w:sz w:val="24"/>
          <w:szCs w:val="24"/>
        </w:rPr>
        <w:footnoteReference w:id="153"/>
      </w:r>
    </w:p>
    <w:p w14:paraId="681F2D4F"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Adeyemi and </w:t>
      </w:r>
      <w:proofErr w:type="spellStart"/>
      <w:r w:rsidRPr="00353F2F">
        <w:rPr>
          <w:rFonts w:ascii="Times New Roman" w:hAnsi="Times New Roman" w:cs="Times New Roman"/>
          <w:sz w:val="24"/>
          <w:szCs w:val="24"/>
        </w:rPr>
        <w:t>Fagbemi's</w:t>
      </w:r>
      <w:proofErr w:type="spellEnd"/>
      <w:r w:rsidRPr="00353F2F">
        <w:rPr>
          <w:rStyle w:val="FootnoteReference"/>
          <w:rFonts w:ascii="Times New Roman" w:hAnsi="Times New Roman" w:cs="Times New Roman"/>
          <w:sz w:val="24"/>
          <w:szCs w:val="24"/>
        </w:rPr>
        <w:footnoteReference w:id="154"/>
      </w:r>
      <w:r w:rsidRPr="00353F2F">
        <w:rPr>
          <w:rFonts w:ascii="Times New Roman" w:hAnsi="Times New Roman" w:cs="Times New Roman"/>
          <w:sz w:val="24"/>
          <w:szCs w:val="24"/>
        </w:rPr>
        <w:t xml:space="preserve"> empirical study of audit quality, corporate governance, and firm characteristics in Nigeria provides a rigorous quantitative analysis of the relationship between governance quality and financial reporting quality in Nigerian companies. Using a sample of listed Nigerian companies over a multi-year period, Adeyemi and </w:t>
      </w:r>
      <w:proofErr w:type="spellStart"/>
      <w:r w:rsidRPr="00353F2F">
        <w:rPr>
          <w:rFonts w:ascii="Times New Roman" w:hAnsi="Times New Roman" w:cs="Times New Roman"/>
          <w:sz w:val="24"/>
          <w:szCs w:val="24"/>
        </w:rPr>
        <w:t>Fagbemi</w:t>
      </w:r>
      <w:proofErr w:type="spellEnd"/>
      <w:r w:rsidRPr="00353F2F">
        <w:rPr>
          <w:rFonts w:ascii="Times New Roman" w:hAnsi="Times New Roman" w:cs="Times New Roman"/>
          <w:sz w:val="24"/>
          <w:szCs w:val="24"/>
        </w:rPr>
        <w:t xml:space="preserve"> demonstrate that board independence — measured by the proportion of non-executive directors on the board, is a significant positive predictor of audit quality, operationalized as the propensity of auditors to issue qualified opinions on financial statements that fail to comply with applicable accounting standards.</w:t>
      </w:r>
      <w:r w:rsidRPr="00353F2F">
        <w:rPr>
          <w:rStyle w:val="FootnoteReference"/>
          <w:rFonts w:ascii="Times New Roman" w:hAnsi="Times New Roman" w:cs="Times New Roman"/>
          <w:sz w:val="24"/>
          <w:szCs w:val="24"/>
        </w:rPr>
        <w:footnoteReference w:id="155"/>
      </w:r>
      <w:r w:rsidRPr="00353F2F">
        <w:rPr>
          <w:rFonts w:ascii="Times New Roman" w:hAnsi="Times New Roman" w:cs="Times New Roman"/>
          <w:sz w:val="24"/>
          <w:szCs w:val="24"/>
        </w:rPr>
        <w:t xml:space="preserve"> Their finding that governance quality and audit quality are mutually reinforcing, that companies with stronger boards engage higher-quality auditors and that higher-quality auditors </w:t>
      </w:r>
      <w:r w:rsidRPr="00353F2F">
        <w:rPr>
          <w:rFonts w:ascii="Times New Roman" w:hAnsi="Times New Roman" w:cs="Times New Roman"/>
          <w:sz w:val="24"/>
          <w:szCs w:val="24"/>
        </w:rPr>
        <w:lastRenderedPageBreak/>
        <w:t>impose stronger governance disciplines on their clients, provides empirical support for the proposition that governance reforms at the board level generate positive spillover effects throughout the corporate accountability system.</w:t>
      </w:r>
      <w:r w:rsidRPr="00353F2F">
        <w:rPr>
          <w:rStyle w:val="FootnoteReference"/>
          <w:rFonts w:ascii="Times New Roman" w:hAnsi="Times New Roman" w:cs="Times New Roman"/>
          <w:sz w:val="24"/>
          <w:szCs w:val="24"/>
        </w:rPr>
        <w:footnoteReference w:id="156"/>
      </w:r>
      <w:r w:rsidRPr="00353F2F">
        <w:rPr>
          <w:rFonts w:ascii="Times New Roman" w:hAnsi="Times New Roman" w:cs="Times New Roman"/>
          <w:sz w:val="24"/>
          <w:szCs w:val="24"/>
        </w:rPr>
        <w:t xml:space="preserve"> This finding is directly relevant to the project finance context examined in this thesis, where the reliability of financial reporting is a critical determinant of lender confidence and bankability, and where governance weaknesses that undermine audit quality therefore have direct consequences for a project company's ability to attract and retain long-term debt financing.</w:t>
      </w:r>
    </w:p>
    <w:p w14:paraId="0F1A0E7D"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Obi's</w:t>
      </w:r>
      <w:r w:rsidRPr="00353F2F">
        <w:rPr>
          <w:rStyle w:val="FootnoteReference"/>
          <w:rFonts w:ascii="Times New Roman" w:hAnsi="Times New Roman" w:cs="Times New Roman"/>
          <w:sz w:val="24"/>
          <w:szCs w:val="24"/>
        </w:rPr>
        <w:footnoteReference w:id="157"/>
      </w:r>
      <w:r w:rsidRPr="00353F2F">
        <w:rPr>
          <w:rFonts w:ascii="Times New Roman" w:hAnsi="Times New Roman" w:cs="Times New Roman"/>
          <w:sz w:val="24"/>
          <w:szCs w:val="24"/>
        </w:rPr>
        <w:t xml:space="preserve"> quantitative analysis of corporate governance practices and firm performance in Nigeria adds to this empirical evidence base by demonstrating a statistically significant positive relationship between governance quality, measured by board size, board independence, audit committee effectiveness, and transparency of financial disclosure, and financial performance outcomes in Nigerian listed companies. Obi's findings contribute to the growing body of evidence that governance quality is not merely a compliance obligation but a genuine value driver in Nigerian corporate contexts, with direct implications for the argument that governance improvements in Nigerian project companies will enhance their financial performance, reduce their risk profile, and improve their access to long-term debt capital on </w:t>
      </w:r>
      <w:proofErr w:type="spellStart"/>
      <w:r w:rsidRPr="00353F2F">
        <w:rPr>
          <w:rFonts w:ascii="Times New Roman" w:hAnsi="Times New Roman" w:cs="Times New Roman"/>
          <w:sz w:val="24"/>
          <w:szCs w:val="24"/>
        </w:rPr>
        <w:t>favourable</w:t>
      </w:r>
      <w:proofErr w:type="spellEnd"/>
      <w:r w:rsidRPr="00353F2F">
        <w:rPr>
          <w:rFonts w:ascii="Times New Roman" w:hAnsi="Times New Roman" w:cs="Times New Roman"/>
          <w:sz w:val="24"/>
          <w:szCs w:val="24"/>
        </w:rPr>
        <w:t xml:space="preserve"> terms.</w:t>
      </w:r>
      <w:r w:rsidRPr="00353F2F">
        <w:rPr>
          <w:rStyle w:val="FootnoteReference"/>
          <w:rFonts w:ascii="Times New Roman" w:hAnsi="Times New Roman" w:cs="Times New Roman"/>
          <w:sz w:val="24"/>
          <w:szCs w:val="24"/>
        </w:rPr>
        <w:footnoteReference w:id="158"/>
      </w:r>
      <w:r w:rsidRPr="00353F2F">
        <w:rPr>
          <w:rFonts w:ascii="Times New Roman" w:hAnsi="Times New Roman" w:cs="Times New Roman"/>
          <w:sz w:val="24"/>
          <w:szCs w:val="24"/>
        </w:rPr>
        <w:t xml:space="preserve"> Importantly, Obi also identifies the heterogeneity of governance effects across different company characteristics, finding that the performance benefits of governance improvements are strongest in highly leveraged companies, precisely the capital structure characteristics that define project </w:t>
      </w:r>
      <w:r w:rsidRPr="00353F2F">
        <w:rPr>
          <w:rFonts w:ascii="Times New Roman" w:hAnsi="Times New Roman" w:cs="Times New Roman"/>
          <w:sz w:val="24"/>
          <w:szCs w:val="24"/>
        </w:rPr>
        <w:lastRenderedPageBreak/>
        <w:t>finance SPVs, providing empirical support for the particular relevance of governance quality to the project finance context.</w:t>
      </w:r>
      <w:r w:rsidRPr="00353F2F">
        <w:rPr>
          <w:rStyle w:val="FootnoteReference"/>
          <w:rFonts w:ascii="Times New Roman" w:hAnsi="Times New Roman" w:cs="Times New Roman"/>
          <w:sz w:val="24"/>
          <w:szCs w:val="24"/>
        </w:rPr>
        <w:footnoteReference w:id="159"/>
      </w:r>
    </w:p>
    <w:p w14:paraId="75AA7C44"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World Bank's Report</w:t>
      </w:r>
      <w:r w:rsidRPr="00353F2F">
        <w:rPr>
          <w:rStyle w:val="FootnoteReference"/>
          <w:rFonts w:ascii="Times New Roman" w:hAnsi="Times New Roman" w:cs="Times New Roman"/>
          <w:sz w:val="24"/>
          <w:szCs w:val="24"/>
        </w:rPr>
        <w:footnoteReference w:id="160"/>
      </w:r>
      <w:r w:rsidRPr="00353F2F">
        <w:rPr>
          <w:rFonts w:ascii="Times New Roman" w:hAnsi="Times New Roman" w:cs="Times New Roman"/>
          <w:sz w:val="24"/>
          <w:szCs w:val="24"/>
        </w:rPr>
        <w:t xml:space="preserve"> on the Observance of Standards and Codes for Nigeria on Corporate Governance provides the most authoritative comparative assessment of the Nigerian corporate governance framework, evaluating the degree of compliance with OECD Principles and identifying the specific areas of strength and weakness in the Nigerian governance environment. The Report identifies a consistent pattern of formal compliance without substantive implementation, noting that many Nigerian companies satisfy the technical requirements of applicable governance codes without genuinely internalizing the values and practices that those codes are designed to promote.</w:t>
      </w:r>
      <w:r w:rsidRPr="00353F2F">
        <w:rPr>
          <w:rStyle w:val="FootnoteReference"/>
          <w:rFonts w:ascii="Times New Roman" w:hAnsi="Times New Roman" w:cs="Times New Roman"/>
          <w:sz w:val="24"/>
          <w:szCs w:val="24"/>
        </w:rPr>
        <w:footnoteReference w:id="161"/>
      </w:r>
      <w:r w:rsidRPr="00353F2F">
        <w:rPr>
          <w:rFonts w:ascii="Times New Roman" w:hAnsi="Times New Roman" w:cs="Times New Roman"/>
          <w:sz w:val="24"/>
          <w:szCs w:val="24"/>
        </w:rPr>
        <w:t xml:space="preserve"> The Report's specific findings on the weaknesses of board oversight functions, including the limited independence of audit committees, the inadequacy of risk management systems, and the deficiencies of related-party transaction controls, identify governance gaps that are particularly consequential in the project finance context where lenders rely on board oversight as a primary risk management mechanism.</w:t>
      </w:r>
      <w:r w:rsidRPr="00353F2F">
        <w:rPr>
          <w:rStyle w:val="FootnoteReference"/>
          <w:rFonts w:ascii="Times New Roman" w:hAnsi="Times New Roman" w:cs="Times New Roman"/>
          <w:sz w:val="24"/>
          <w:szCs w:val="24"/>
        </w:rPr>
        <w:footnoteReference w:id="162"/>
      </w:r>
      <w:r w:rsidRPr="00353F2F">
        <w:rPr>
          <w:rFonts w:ascii="Times New Roman" w:hAnsi="Times New Roman" w:cs="Times New Roman"/>
          <w:sz w:val="24"/>
          <w:szCs w:val="24"/>
        </w:rPr>
        <w:t xml:space="preserve"> The Report's recommendations for governance reform, </w:t>
      </w:r>
      <w:proofErr w:type="spellStart"/>
      <w:r w:rsidRPr="00353F2F">
        <w:rPr>
          <w:rFonts w:ascii="Times New Roman" w:hAnsi="Times New Roman" w:cs="Times New Roman"/>
          <w:sz w:val="24"/>
          <w:szCs w:val="24"/>
        </w:rPr>
        <w:t>centred</w:t>
      </w:r>
      <w:proofErr w:type="spellEnd"/>
      <w:r w:rsidRPr="00353F2F">
        <w:rPr>
          <w:rFonts w:ascii="Times New Roman" w:hAnsi="Times New Roman" w:cs="Times New Roman"/>
          <w:sz w:val="24"/>
          <w:szCs w:val="24"/>
        </w:rPr>
        <w:t xml:space="preserve"> on strengthening enforcement institutions, improving the quality and independence of the accounting and audit professions, and deepening the capacity of regulatory agencies, provide a normative framework that this thesis engages with critically in its assessment of the adequacy of the governance framework for Nigerian project finance and in its development of targeted reform recommendations.</w:t>
      </w:r>
      <w:r w:rsidRPr="00353F2F">
        <w:rPr>
          <w:rStyle w:val="FootnoteReference"/>
          <w:rFonts w:ascii="Times New Roman" w:hAnsi="Times New Roman" w:cs="Times New Roman"/>
          <w:sz w:val="24"/>
          <w:szCs w:val="24"/>
        </w:rPr>
        <w:footnoteReference w:id="163"/>
      </w:r>
      <w:r w:rsidRPr="00353F2F">
        <w:rPr>
          <w:rFonts w:ascii="Times New Roman" w:hAnsi="Times New Roman" w:cs="Times New Roman"/>
          <w:sz w:val="24"/>
          <w:szCs w:val="24"/>
        </w:rPr>
        <w:br/>
      </w:r>
      <w:r w:rsidRPr="00353F2F">
        <w:rPr>
          <w:rFonts w:ascii="Times New Roman" w:hAnsi="Times New Roman" w:cs="Times New Roman"/>
          <w:sz w:val="24"/>
          <w:szCs w:val="24"/>
        </w:rPr>
        <w:lastRenderedPageBreak/>
        <w:t xml:space="preserve">Rafael La Porta, Florencio Lopez-de-Silanes, Andrei Shleifer and Robert </w:t>
      </w:r>
      <w:proofErr w:type="spellStart"/>
      <w:r w:rsidRPr="00353F2F">
        <w:rPr>
          <w:rFonts w:ascii="Times New Roman" w:hAnsi="Times New Roman" w:cs="Times New Roman"/>
          <w:sz w:val="24"/>
          <w:szCs w:val="24"/>
        </w:rPr>
        <w:t>Vishny’s</w:t>
      </w:r>
      <w:proofErr w:type="spellEnd"/>
      <w:r w:rsidRPr="00353F2F">
        <w:rPr>
          <w:rStyle w:val="FootnoteReference"/>
          <w:rFonts w:ascii="Times New Roman" w:hAnsi="Times New Roman" w:cs="Times New Roman"/>
          <w:sz w:val="24"/>
          <w:szCs w:val="24"/>
        </w:rPr>
        <w:footnoteReference w:id="164"/>
      </w:r>
      <w:r w:rsidRPr="00353F2F">
        <w:rPr>
          <w:rFonts w:ascii="Times New Roman" w:hAnsi="Times New Roman" w:cs="Times New Roman"/>
          <w:sz w:val="24"/>
          <w:szCs w:val="24"/>
        </w:rPr>
        <w:t xml:space="preserve"> landmark empirical study constitutes one of the most influential and widely cited contributions to the intersection of legal systems, investor protection, and corporate finance. Their central finding, that the legal origin of a country’s company and securities law, whether rooted in common law, French civil law, German civil law, or Scandinavian civil law, is a significant and robust determinant of the breadth of investor protections available in that jurisdiction and, consequently, of the development of the country’s capital markets, carries profound implications for the Nigerian project finance context. La Porta and co-authors demonstrate empirically that common law countries provide the strongest protection to outside investors, both shareholders and creditors, a finding that is directly relevant to the analysis of the Nigerian legal framework, which derives from the English common law tradition and should, in principle, afford stronger investor protections than jurisdictions governed by civil law systems. However, their subsidiary finding that enforcement quality, rather than the formal content of laws alone, is the decisive determinant of investor protection effectiveness provides an important corrective to uncritical optimism about the protective capacity of the Nigerian common law inheritance, given the well-documented enforcement challenges that characterize the Nigerian legal system.</w:t>
      </w:r>
      <w:r w:rsidRPr="00353F2F">
        <w:rPr>
          <w:rStyle w:val="FootnoteReference"/>
          <w:rFonts w:ascii="Times New Roman" w:hAnsi="Times New Roman" w:cs="Times New Roman"/>
          <w:sz w:val="24"/>
          <w:szCs w:val="24"/>
        </w:rPr>
        <w:footnoteReference w:id="165"/>
      </w:r>
      <w:r w:rsidRPr="00353F2F">
        <w:rPr>
          <w:rFonts w:ascii="Times New Roman" w:hAnsi="Times New Roman" w:cs="Times New Roman"/>
          <w:sz w:val="24"/>
          <w:szCs w:val="24"/>
        </w:rPr>
        <w:t xml:space="preserve"> The legal origins thesis of La Porta and others has been applied directly to the project finance context by several subsequent scholars, who have demonstrated that the quality of creditor rights protections and legal enforcement in a borrower’s jurisdiction is a significant predictor of the cost, tenor, and structural </w:t>
      </w:r>
      <w:r w:rsidRPr="00353F2F">
        <w:rPr>
          <w:rFonts w:ascii="Times New Roman" w:hAnsi="Times New Roman" w:cs="Times New Roman"/>
          <w:sz w:val="24"/>
          <w:szCs w:val="24"/>
        </w:rPr>
        <w:lastRenderedPageBreak/>
        <w:t>terms of project finance debt, confirming the direct relevance of La Porta’s framework to the bankability analysis of this thesis.</w:t>
      </w:r>
      <w:r w:rsidRPr="00353F2F">
        <w:rPr>
          <w:rStyle w:val="FootnoteReference"/>
          <w:rFonts w:ascii="Times New Roman" w:hAnsi="Times New Roman" w:cs="Times New Roman"/>
          <w:sz w:val="24"/>
          <w:szCs w:val="24"/>
        </w:rPr>
        <w:footnoteReference w:id="166"/>
      </w:r>
    </w:p>
    <w:p w14:paraId="286E3903"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Emmanuel </w:t>
      </w:r>
      <w:proofErr w:type="spellStart"/>
      <w:r w:rsidRPr="00353F2F">
        <w:rPr>
          <w:rFonts w:ascii="Times New Roman" w:hAnsi="Times New Roman" w:cs="Times New Roman"/>
          <w:sz w:val="24"/>
          <w:szCs w:val="24"/>
        </w:rPr>
        <w:t>Adegbite</w:t>
      </w:r>
      <w:proofErr w:type="spellEnd"/>
      <w:r w:rsidRPr="00353F2F">
        <w:rPr>
          <w:rStyle w:val="FootnoteReference"/>
          <w:rFonts w:ascii="Times New Roman" w:hAnsi="Times New Roman" w:cs="Times New Roman"/>
          <w:sz w:val="24"/>
          <w:szCs w:val="24"/>
        </w:rPr>
        <w:footnoteReference w:id="167"/>
      </w:r>
      <w:r w:rsidRPr="00353F2F">
        <w:rPr>
          <w:rFonts w:ascii="Times New Roman" w:hAnsi="Times New Roman" w:cs="Times New Roman"/>
          <w:sz w:val="24"/>
          <w:szCs w:val="24"/>
        </w:rPr>
        <w:t xml:space="preserve"> offers a significant contribution to the understanding of the contextual determinants of governance quality in weak institutional settings and provides a theoretically sophisticated framework for assessing governance effectiveness in the Nigerian context. Drawing on institutional theory rather than the dominant agency theory framework, </w:t>
      </w:r>
      <w:proofErr w:type="spellStart"/>
      <w:r w:rsidRPr="00353F2F">
        <w:rPr>
          <w:rFonts w:ascii="Times New Roman" w:hAnsi="Times New Roman" w:cs="Times New Roman"/>
          <w:sz w:val="24"/>
          <w:szCs w:val="24"/>
        </w:rPr>
        <w:t>Adegbite</w:t>
      </w:r>
      <w:proofErr w:type="spellEnd"/>
      <w:r w:rsidRPr="00353F2F">
        <w:rPr>
          <w:rFonts w:ascii="Times New Roman" w:hAnsi="Times New Roman" w:cs="Times New Roman"/>
          <w:sz w:val="24"/>
          <w:szCs w:val="24"/>
        </w:rPr>
        <w:t xml:space="preserve"> identifies nine specific antecedents of good corporate governance in Nigeria through an empirically grounded, multi-method research design, finding that governance quality in weak institutional environments is shaped not merely by formal legal and regulatory requirements but by a complex interplay of organizational, relational, and systemic factors that formal governance codes are ill-equipped to address on their own. His finding that governance effectiveness in Nigeria depends critically on the quality of regulatory enforcement, the independence of regulatory institutions from political interference, and the strength of the normative pressures exercised by professional bodies and capital market participants, directly informs this thesis’s analysis of the gap between formal governance standards and substantive governance practice in Nigerian project companies.</w:t>
      </w:r>
      <w:r w:rsidRPr="00353F2F">
        <w:rPr>
          <w:rStyle w:val="FootnoteReference"/>
          <w:rFonts w:ascii="Times New Roman" w:hAnsi="Times New Roman" w:cs="Times New Roman"/>
          <w:sz w:val="24"/>
          <w:szCs w:val="24"/>
        </w:rPr>
        <w:footnoteReference w:id="168"/>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Adegbite’s</w:t>
      </w:r>
      <w:proofErr w:type="spellEnd"/>
      <w:r w:rsidRPr="00353F2F">
        <w:rPr>
          <w:rFonts w:ascii="Times New Roman" w:hAnsi="Times New Roman" w:cs="Times New Roman"/>
          <w:sz w:val="24"/>
          <w:szCs w:val="24"/>
        </w:rPr>
        <w:t xml:space="preserve"> proposition that governance reform in Nigeria must be approached as an institutional change project, addressing not only the formal architecture of governance rules but the informal institutional environment within which those rules are applied and enforced, provides normative guidance that is directly relevant to the reform recommendations developed in this thesis.</w:t>
      </w:r>
      <w:r w:rsidRPr="00353F2F">
        <w:rPr>
          <w:rStyle w:val="FootnoteReference"/>
          <w:rFonts w:ascii="Times New Roman" w:hAnsi="Times New Roman" w:cs="Times New Roman"/>
          <w:sz w:val="24"/>
          <w:szCs w:val="24"/>
        </w:rPr>
        <w:footnoteReference w:id="169"/>
      </w:r>
    </w:p>
    <w:p w14:paraId="278DE8C1"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 xml:space="preserve">The collaborative article by </w:t>
      </w:r>
      <w:proofErr w:type="spellStart"/>
      <w:r w:rsidRPr="00353F2F">
        <w:rPr>
          <w:rFonts w:ascii="Times New Roman" w:hAnsi="Times New Roman" w:cs="Times New Roman"/>
          <w:sz w:val="24"/>
          <w:szCs w:val="24"/>
        </w:rPr>
        <w:t>Elewechi</w:t>
      </w:r>
      <w:proofErr w:type="spellEnd"/>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Okike</w:t>
      </w:r>
      <w:proofErr w:type="spellEnd"/>
      <w:r w:rsidRPr="00353F2F">
        <w:rPr>
          <w:rFonts w:ascii="Times New Roman" w:hAnsi="Times New Roman" w:cs="Times New Roman"/>
          <w:sz w:val="24"/>
          <w:szCs w:val="24"/>
        </w:rPr>
        <w:t xml:space="preserve"> and Emmanuel </w:t>
      </w:r>
      <w:proofErr w:type="spellStart"/>
      <w:r w:rsidRPr="00353F2F">
        <w:rPr>
          <w:rFonts w:ascii="Times New Roman" w:hAnsi="Times New Roman" w:cs="Times New Roman"/>
          <w:sz w:val="24"/>
          <w:szCs w:val="24"/>
        </w:rPr>
        <w:t>Adegbite</w:t>
      </w:r>
      <w:proofErr w:type="spellEnd"/>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170"/>
      </w:r>
      <w:r w:rsidRPr="00353F2F">
        <w:rPr>
          <w:rFonts w:ascii="Times New Roman" w:hAnsi="Times New Roman" w:cs="Times New Roman"/>
          <w:sz w:val="24"/>
          <w:szCs w:val="24"/>
        </w:rPr>
        <w:t xml:space="preserve"> provides an important analytical lens through which the motivations for, and the effectiveness of, corporate governance code adoption in Nigeria can be critically assessed. </w:t>
      </w:r>
      <w:proofErr w:type="spellStart"/>
      <w:r w:rsidRPr="00353F2F">
        <w:rPr>
          <w:rFonts w:ascii="Times New Roman" w:hAnsi="Times New Roman" w:cs="Times New Roman"/>
          <w:sz w:val="24"/>
          <w:szCs w:val="24"/>
        </w:rPr>
        <w:t>Okike</w:t>
      </w:r>
      <w:proofErr w:type="spellEnd"/>
      <w:r w:rsidRPr="00353F2F">
        <w:rPr>
          <w:rFonts w:ascii="Times New Roman" w:hAnsi="Times New Roman" w:cs="Times New Roman"/>
          <w:sz w:val="24"/>
          <w:szCs w:val="24"/>
        </w:rPr>
        <w:t xml:space="preserve"> and </w:t>
      </w:r>
      <w:proofErr w:type="spellStart"/>
      <w:r w:rsidRPr="00353F2F">
        <w:rPr>
          <w:rFonts w:ascii="Times New Roman" w:hAnsi="Times New Roman" w:cs="Times New Roman"/>
          <w:sz w:val="24"/>
          <w:szCs w:val="24"/>
        </w:rPr>
        <w:t>Adegbite</w:t>
      </w:r>
      <w:proofErr w:type="spellEnd"/>
      <w:r w:rsidRPr="00353F2F">
        <w:rPr>
          <w:rFonts w:ascii="Times New Roman" w:hAnsi="Times New Roman" w:cs="Times New Roman"/>
          <w:sz w:val="24"/>
          <w:szCs w:val="24"/>
        </w:rPr>
        <w:t xml:space="preserve"> examine the Nigerian experience of governance code adoption through the theoretical prism of efficiency gains (the proposition that codes are adopted because they genuinely improve corporate decision-making and reduce agency costs) and social legitimation (the proposition that codes are adopted primarily to satisfy institutional expectations, signal conformity with international norms, and secure the reputational benefits of governance compliance without substantively changing governance behavior). Their findings are directly relevant to the central analytical challenge of this thesis: the risk that the formal adoption of governance codes and standards by Nigerian project companies may represent social legitimation rather than genuine governance improvement, with significant implications for the reliability of governance mechanisms as risk mitigation instruments.</w:t>
      </w:r>
      <w:r w:rsidRPr="00353F2F">
        <w:rPr>
          <w:rStyle w:val="FootnoteReference"/>
          <w:rFonts w:ascii="Times New Roman" w:hAnsi="Times New Roman" w:cs="Times New Roman"/>
          <w:sz w:val="24"/>
          <w:szCs w:val="24"/>
        </w:rPr>
        <w:footnoteReference w:id="171"/>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Okike</w:t>
      </w:r>
      <w:proofErr w:type="spellEnd"/>
      <w:r w:rsidRPr="00353F2F">
        <w:rPr>
          <w:rFonts w:ascii="Times New Roman" w:hAnsi="Times New Roman" w:cs="Times New Roman"/>
          <w:sz w:val="24"/>
          <w:szCs w:val="24"/>
        </w:rPr>
        <w:t xml:space="preserve"> and </w:t>
      </w:r>
      <w:proofErr w:type="spellStart"/>
      <w:r w:rsidRPr="00353F2F">
        <w:rPr>
          <w:rFonts w:ascii="Times New Roman" w:hAnsi="Times New Roman" w:cs="Times New Roman"/>
          <w:sz w:val="24"/>
          <w:szCs w:val="24"/>
        </w:rPr>
        <w:t>Adegbite</w:t>
      </w:r>
      <w:proofErr w:type="spellEnd"/>
      <w:r w:rsidRPr="00353F2F">
        <w:rPr>
          <w:rFonts w:ascii="Times New Roman" w:hAnsi="Times New Roman" w:cs="Times New Roman"/>
          <w:sz w:val="24"/>
          <w:szCs w:val="24"/>
        </w:rPr>
        <w:t xml:space="preserve"> conclude that the CBN’s Code of Corporate Governance for Banks, driven by the CBN’s supervisory enforcement capacity, has produced measurably greater efficiency gains than the broader Code of Best Practices for Corporate Governance, which has been largely adopted for legitimation purposes without equivalent improvements in substantive governance quality; a finding that has direct implications for the comparative governance analysis of Nigerian project finance lenders and project company sponsors conducted in this thesis.</w:t>
      </w:r>
      <w:r w:rsidRPr="00353F2F">
        <w:rPr>
          <w:rStyle w:val="FootnoteReference"/>
          <w:rFonts w:ascii="Times New Roman" w:hAnsi="Times New Roman" w:cs="Times New Roman"/>
          <w:sz w:val="24"/>
          <w:szCs w:val="24"/>
        </w:rPr>
        <w:footnoteReference w:id="172"/>
      </w:r>
    </w:p>
    <w:p w14:paraId="0A270497"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Olufemi </w:t>
      </w:r>
      <w:proofErr w:type="spellStart"/>
      <w:r w:rsidRPr="00353F2F">
        <w:rPr>
          <w:rFonts w:ascii="Times New Roman" w:hAnsi="Times New Roman" w:cs="Times New Roman"/>
          <w:sz w:val="24"/>
          <w:szCs w:val="24"/>
        </w:rPr>
        <w:t>Soyeju’s</w:t>
      </w:r>
      <w:proofErr w:type="spellEnd"/>
      <w:r w:rsidRPr="00353F2F">
        <w:rPr>
          <w:rStyle w:val="FootnoteReference"/>
          <w:rFonts w:ascii="Times New Roman" w:hAnsi="Times New Roman" w:cs="Times New Roman"/>
          <w:sz w:val="24"/>
          <w:szCs w:val="24"/>
        </w:rPr>
        <w:footnoteReference w:id="173"/>
      </w:r>
      <w:r w:rsidRPr="00353F2F">
        <w:rPr>
          <w:rFonts w:ascii="Times New Roman" w:hAnsi="Times New Roman" w:cs="Times New Roman"/>
          <w:sz w:val="24"/>
          <w:szCs w:val="24"/>
        </w:rPr>
        <w:t xml:space="preserve"> stance represents an important domestic legal contribution to the project finance scholarship directly relevant to this thesis, addressing the specific categories of legal risk </w:t>
      </w:r>
      <w:r w:rsidRPr="00353F2F">
        <w:rPr>
          <w:rFonts w:ascii="Times New Roman" w:hAnsi="Times New Roman" w:cs="Times New Roman"/>
          <w:sz w:val="24"/>
          <w:szCs w:val="24"/>
        </w:rPr>
        <w:lastRenderedPageBreak/>
        <w:t xml:space="preserve">that constrain the development of a more robust project finance market in Nigeria and proposing targeted legal reforms. </w:t>
      </w:r>
      <w:proofErr w:type="spellStart"/>
      <w:r w:rsidRPr="00353F2F">
        <w:rPr>
          <w:rFonts w:ascii="Times New Roman" w:hAnsi="Times New Roman" w:cs="Times New Roman"/>
          <w:sz w:val="24"/>
          <w:szCs w:val="24"/>
        </w:rPr>
        <w:t>Soyeju</w:t>
      </w:r>
      <w:proofErr w:type="spellEnd"/>
      <w:r w:rsidRPr="00353F2F">
        <w:rPr>
          <w:rFonts w:ascii="Times New Roman" w:hAnsi="Times New Roman" w:cs="Times New Roman"/>
          <w:sz w:val="24"/>
          <w:szCs w:val="24"/>
        </w:rPr>
        <w:t xml:space="preserve"> identifies the principal legal risks confronting project finance transactions in Nigeria as falling into four broad categories: the uncertainty of security interest enforcement arising from the fragmented pre-STMA 2017 legal framework for movable asset security; the inadequacy of dispute resolution mechanisms for efficiently resolving project finance disputes, particularly those involving government counterparties; the incomplete and uncertain legal framework for PPP and concession arrangements at the sub-national level; and the governance and legal uncertainties arising from the interaction of Nigeria’s federal legal structure with the sector-specific regulatory frameworks for project finance sectors. His analysis of the governance implications of legal risk for project bankability, demonstrating how legal uncertainty about the enforceability of security interests, the availability of step-in rights, and the enforcement of arbitral awards against government counterparties directly affects lender appetite for Nigerian project finance transactions, provides a Nigeria-specific legal analysis that complements the broader project finance governance literature reviewed in this thesis.</w:t>
      </w:r>
      <w:r w:rsidRPr="00353F2F">
        <w:rPr>
          <w:rStyle w:val="FootnoteReference"/>
          <w:rFonts w:ascii="Times New Roman" w:hAnsi="Times New Roman" w:cs="Times New Roman"/>
          <w:sz w:val="24"/>
          <w:szCs w:val="24"/>
        </w:rPr>
        <w:footnoteReference w:id="174"/>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Soyeju’s</w:t>
      </w:r>
      <w:proofErr w:type="spellEnd"/>
      <w:r w:rsidRPr="00353F2F">
        <w:rPr>
          <w:rFonts w:ascii="Times New Roman" w:hAnsi="Times New Roman" w:cs="Times New Roman"/>
          <w:sz w:val="24"/>
          <w:szCs w:val="24"/>
        </w:rPr>
        <w:t xml:space="preserve"> reform recommendations, which include the enactment of a comprehensive collateral registry legislation (subsequently achieved through the Secured Transactions in Movable Assets Act 2017), the strengthening of the arbitration framework, and the development of </w:t>
      </w:r>
      <w:proofErr w:type="spellStart"/>
      <w:r w:rsidRPr="00353F2F">
        <w:rPr>
          <w:rFonts w:ascii="Times New Roman" w:hAnsi="Times New Roman" w:cs="Times New Roman"/>
          <w:sz w:val="24"/>
          <w:szCs w:val="24"/>
        </w:rPr>
        <w:t>standardised</w:t>
      </w:r>
      <w:proofErr w:type="spellEnd"/>
      <w:r w:rsidRPr="00353F2F">
        <w:rPr>
          <w:rFonts w:ascii="Times New Roman" w:hAnsi="Times New Roman" w:cs="Times New Roman"/>
          <w:sz w:val="24"/>
          <w:szCs w:val="24"/>
        </w:rPr>
        <w:t xml:space="preserve"> project finance documentation for Nigerian PPP transactions, anticipate and validate several of the governance reform proposals developed in this thesis.</w:t>
      </w:r>
      <w:r w:rsidRPr="00353F2F">
        <w:rPr>
          <w:rStyle w:val="FootnoteReference"/>
          <w:rFonts w:ascii="Times New Roman" w:hAnsi="Times New Roman" w:cs="Times New Roman"/>
          <w:sz w:val="24"/>
          <w:szCs w:val="24"/>
        </w:rPr>
        <w:footnoteReference w:id="175"/>
      </w:r>
    </w:p>
    <w:p w14:paraId="15E7CB7B" w14:textId="77777777" w:rsidR="00897B51" w:rsidRPr="00353F2F" w:rsidRDefault="00897B51" w:rsidP="00353F2F">
      <w:pPr>
        <w:spacing w:before="180" w:after="180" w:line="480" w:lineRule="auto"/>
        <w:jc w:val="both"/>
        <w:rPr>
          <w:rFonts w:ascii="Times New Roman" w:hAnsi="Times New Roman" w:cs="Times New Roman"/>
          <w:sz w:val="24"/>
          <w:szCs w:val="24"/>
        </w:rPr>
      </w:pPr>
    </w:p>
    <w:p w14:paraId="7875F11E" w14:textId="77777777" w:rsidR="00897B51" w:rsidRPr="00353F2F" w:rsidRDefault="00897B51" w:rsidP="00353F2F">
      <w:pPr>
        <w:spacing w:before="180" w:after="180" w:line="480" w:lineRule="auto"/>
        <w:jc w:val="both"/>
        <w:rPr>
          <w:rFonts w:ascii="Times New Roman" w:hAnsi="Times New Roman" w:cs="Times New Roman"/>
          <w:sz w:val="24"/>
          <w:szCs w:val="24"/>
        </w:rPr>
      </w:pPr>
    </w:p>
    <w:p w14:paraId="5FAFF805" w14:textId="77777777" w:rsidR="00897B51" w:rsidRPr="00353F2F" w:rsidRDefault="00897B51"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foregoing review of the existing literature reveals a body of scholarship that is broad in scope but uneven in depth regarding the connection among corporate governance, risk mitigation, and bankability in the Nigerian project finance context. While the global literature on corporate governance and project finance has produced sophisticated theoretical frameworks and rigorous empirical analyses, it has largely been developed in the context of advanced market economies with well-functioning legal systems, regulatory institutions, and deep capital markets, backgrounds that differ fundamentally from the Nigerian investment environment in ways that significantly affect the applicability of their conclusions.</w:t>
      </w:r>
      <w:r w:rsidRPr="00353F2F">
        <w:rPr>
          <w:rStyle w:val="FootnoteReference"/>
          <w:rFonts w:ascii="Times New Roman" w:hAnsi="Times New Roman" w:cs="Times New Roman"/>
          <w:sz w:val="24"/>
          <w:szCs w:val="24"/>
        </w:rPr>
        <w:footnoteReference w:id="176"/>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Uwaifo</w:t>
      </w:r>
      <w:proofErr w:type="spellEnd"/>
      <w:r w:rsidRPr="00353F2F">
        <w:rPr>
          <w:rStyle w:val="FootnoteReference"/>
          <w:rFonts w:ascii="Times New Roman" w:hAnsi="Times New Roman" w:cs="Times New Roman"/>
          <w:sz w:val="24"/>
          <w:szCs w:val="24"/>
        </w:rPr>
        <w:footnoteReference w:id="177"/>
      </w:r>
      <w:r w:rsidRPr="00353F2F">
        <w:rPr>
          <w:rFonts w:ascii="Times New Roman" w:hAnsi="Times New Roman" w:cs="Times New Roman"/>
          <w:sz w:val="24"/>
          <w:szCs w:val="24"/>
        </w:rPr>
        <w:t xml:space="preserve"> specifically identified the absence of a comprehensive legal and governance framework for risk management in Nigerian project finance as a significant gap in the domestic literature, noting that existing scholarship has tended to address legal and governance dimensions of Nigerian project finance in isolation rather than as an integrated system. This division of the literature, with legal scholars examining the contractual framework, finance scholars examining the risk pricing and structuring dimensions, and management scholars examining governance institutions, has produced knowledge rich in disciplinary depth but limited in its capacity to address the multi-dimensional challenge of governance as a risk mitigation and bankability-enhancing mechanism in Nigerian project finance.</w:t>
      </w:r>
      <w:r w:rsidRPr="00353F2F">
        <w:rPr>
          <w:rStyle w:val="FootnoteReference"/>
          <w:rFonts w:ascii="Times New Roman" w:hAnsi="Times New Roman" w:cs="Times New Roman"/>
          <w:sz w:val="24"/>
          <w:szCs w:val="24"/>
        </w:rPr>
        <w:footnoteReference w:id="178"/>
      </w:r>
    </w:p>
    <w:p w14:paraId="7CCAB5D9" w14:textId="6B51B828" w:rsidR="00AB7F86" w:rsidRPr="00353F2F" w:rsidRDefault="00AB7F86" w:rsidP="00353F2F">
      <w:pPr>
        <w:spacing w:line="480" w:lineRule="auto"/>
        <w:rPr>
          <w:rFonts w:ascii="Times New Roman" w:hAnsi="Times New Roman" w:cs="Times New Roman"/>
          <w:sz w:val="24"/>
          <w:szCs w:val="24"/>
        </w:rPr>
      </w:pPr>
      <w:r w:rsidRPr="00353F2F">
        <w:rPr>
          <w:rFonts w:ascii="Times New Roman" w:hAnsi="Times New Roman" w:cs="Times New Roman"/>
          <w:sz w:val="24"/>
          <w:szCs w:val="24"/>
        </w:rPr>
        <w:br w:type="page"/>
      </w:r>
    </w:p>
    <w:p w14:paraId="22FB59AA" w14:textId="77777777" w:rsidR="00AB7F86" w:rsidRPr="00353F2F" w:rsidRDefault="00AB7F86" w:rsidP="00353F2F">
      <w:pPr>
        <w:spacing w:after="200" w:line="480" w:lineRule="auto"/>
        <w:jc w:val="center"/>
        <w:rPr>
          <w:rFonts w:ascii="Times New Roman" w:hAnsi="Times New Roman" w:cs="Times New Roman"/>
          <w:sz w:val="24"/>
          <w:szCs w:val="24"/>
        </w:rPr>
      </w:pPr>
      <w:r w:rsidRPr="00353F2F">
        <w:rPr>
          <w:rFonts w:ascii="Times New Roman" w:hAnsi="Times New Roman" w:cs="Times New Roman"/>
          <w:b/>
          <w:bCs/>
          <w:sz w:val="24"/>
          <w:szCs w:val="24"/>
        </w:rPr>
        <w:lastRenderedPageBreak/>
        <w:t>CHAPTER THREE</w:t>
      </w:r>
    </w:p>
    <w:p w14:paraId="1FAB8E26" w14:textId="77777777" w:rsidR="00AB7F86" w:rsidRPr="00353F2F" w:rsidRDefault="00AB7F86" w:rsidP="00353F2F">
      <w:pPr>
        <w:spacing w:after="400" w:line="480" w:lineRule="auto"/>
        <w:jc w:val="center"/>
        <w:rPr>
          <w:rFonts w:ascii="Times New Roman" w:hAnsi="Times New Roman" w:cs="Times New Roman"/>
          <w:sz w:val="24"/>
          <w:szCs w:val="24"/>
        </w:rPr>
      </w:pPr>
      <w:r w:rsidRPr="00353F2F">
        <w:rPr>
          <w:rFonts w:ascii="Times New Roman" w:hAnsi="Times New Roman" w:cs="Times New Roman"/>
          <w:b/>
          <w:bCs/>
          <w:sz w:val="24"/>
          <w:szCs w:val="24"/>
        </w:rPr>
        <w:t>LEGAL AND INSTITUTIONAL FRAMEWORK FOR CORPORATE GOVERNANCE IN NIGERIAN PROJECT FINANCE</w:t>
      </w:r>
    </w:p>
    <w:p w14:paraId="137914E9" w14:textId="77777777" w:rsidR="00AB7F86" w:rsidRPr="00353F2F" w:rsidRDefault="00AB7F86" w:rsidP="00353F2F">
      <w:pPr>
        <w:pStyle w:val="Heading1"/>
        <w:spacing w:line="480" w:lineRule="auto"/>
        <w:rPr>
          <w:sz w:val="24"/>
          <w:szCs w:val="24"/>
        </w:rPr>
      </w:pPr>
      <w:r w:rsidRPr="00353F2F">
        <w:rPr>
          <w:sz w:val="24"/>
          <w:szCs w:val="24"/>
        </w:rPr>
        <w:t xml:space="preserve">3.1 Legal Framework </w:t>
      </w:r>
      <w:proofErr w:type="gramStart"/>
      <w:r w:rsidRPr="00353F2F">
        <w:rPr>
          <w:sz w:val="24"/>
          <w:szCs w:val="24"/>
        </w:rPr>
        <w:t>For</w:t>
      </w:r>
      <w:proofErr w:type="gramEnd"/>
      <w:r w:rsidRPr="00353F2F">
        <w:rPr>
          <w:sz w:val="24"/>
          <w:szCs w:val="24"/>
        </w:rPr>
        <w:t xml:space="preserve"> Corporate Governance In Nigeria</w:t>
      </w:r>
    </w:p>
    <w:p w14:paraId="2723DE9A"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legal framework governing corporate governance in Nigeria is not a single, coherent legislative instrument but a collection of enactments, regulations, and codes that operate across different domains of economic activity and are administered by different regulatory authorities. The framework has evolved incrementally over several decades, with successive legislative reforms responding to specific governance failures, international developments in governance best practice, and the changing demands of the Nigerian economy. The following sections examine the principal statutory instruments that together constitute this legal framework, with particular attention to their relevance for corporate governance in the project finance context.</w:t>
      </w:r>
    </w:p>
    <w:p w14:paraId="261F7704" w14:textId="77777777" w:rsidR="00AB7F86" w:rsidRPr="00353F2F" w:rsidRDefault="00AB7F86" w:rsidP="00353F2F">
      <w:pPr>
        <w:pStyle w:val="Heading2"/>
        <w:spacing w:line="480" w:lineRule="auto"/>
        <w:rPr>
          <w:sz w:val="24"/>
          <w:szCs w:val="24"/>
        </w:rPr>
      </w:pPr>
      <w:r w:rsidRPr="00353F2F">
        <w:rPr>
          <w:sz w:val="24"/>
          <w:szCs w:val="24"/>
        </w:rPr>
        <w:t>3.1.1 Constitution of the Federal Republic of Nigeria 1999 (as amended 2011)</w:t>
      </w:r>
    </w:p>
    <w:p w14:paraId="2025895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Constitution of the Federal Republic of Nigeria 1999,</w:t>
      </w:r>
      <w:r w:rsidRPr="00353F2F">
        <w:rPr>
          <w:rStyle w:val="FootnoteReference"/>
          <w:rFonts w:ascii="Times New Roman" w:hAnsi="Times New Roman" w:cs="Times New Roman"/>
          <w:sz w:val="24"/>
          <w:szCs w:val="24"/>
        </w:rPr>
        <w:footnoteReference w:id="179"/>
      </w:r>
      <w:r w:rsidRPr="00353F2F">
        <w:rPr>
          <w:rFonts w:ascii="Times New Roman" w:hAnsi="Times New Roman" w:cs="Times New Roman"/>
          <w:sz w:val="24"/>
          <w:szCs w:val="24"/>
        </w:rPr>
        <w:t xml:space="preserve"> as amended, serves as the supreme legal framework within which all corporate governance legislation and regulation must operate. As the </w:t>
      </w:r>
      <w:proofErr w:type="spellStart"/>
      <w:r w:rsidRPr="00353F2F">
        <w:rPr>
          <w:rFonts w:ascii="Times New Roman" w:hAnsi="Times New Roman" w:cs="Times New Roman"/>
          <w:sz w:val="24"/>
          <w:szCs w:val="24"/>
        </w:rPr>
        <w:t>grundnorm</w:t>
      </w:r>
      <w:proofErr w:type="spellEnd"/>
      <w:r w:rsidRPr="00353F2F">
        <w:rPr>
          <w:rFonts w:ascii="Times New Roman" w:hAnsi="Times New Roman" w:cs="Times New Roman"/>
          <w:sz w:val="24"/>
          <w:szCs w:val="24"/>
        </w:rPr>
        <w:t xml:space="preserve"> of the Nigerian legal order, the Constitution establishes the foundational principles of the rule of law, the separation of powers, and the fundamental rights of citizens and legal persons that provide the constitutional architecture within which corporate governance norms are embedded and enforced.</w:t>
      </w:r>
    </w:p>
    <w:p w14:paraId="5B1324A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constitutional provisions most directly relevant to corporate governance in the project finance context are those concerning the regulation of the economy and the protection of property rights. Section 16(1) of the Constitution vests in the state the general responsibility to manage and operate the major sectors of the economy in a manner that secures the maximum welfare, freedom, and happiness of every citizen.</w:t>
      </w:r>
      <w:r w:rsidRPr="00353F2F">
        <w:rPr>
          <w:rStyle w:val="FootnoteReference"/>
          <w:rFonts w:ascii="Times New Roman" w:hAnsi="Times New Roman" w:cs="Times New Roman"/>
          <w:sz w:val="24"/>
          <w:szCs w:val="24"/>
        </w:rPr>
        <w:footnoteReference w:id="180"/>
      </w:r>
      <w:r w:rsidRPr="00353F2F">
        <w:rPr>
          <w:rFonts w:ascii="Times New Roman" w:hAnsi="Times New Roman" w:cs="Times New Roman"/>
          <w:sz w:val="24"/>
          <w:szCs w:val="24"/>
        </w:rPr>
        <w:t xml:space="preserve"> Section 16(2)(c) specifically directs the state to ensure that the economic system is not operated in such a manner as to permit the concentration of wealth or the means of production and exchange in the hands of a few individuals or of a group.</w:t>
      </w:r>
      <w:r w:rsidRPr="00353F2F">
        <w:rPr>
          <w:rStyle w:val="FootnoteReference"/>
          <w:rFonts w:ascii="Times New Roman" w:hAnsi="Times New Roman" w:cs="Times New Roman"/>
          <w:sz w:val="24"/>
          <w:szCs w:val="24"/>
        </w:rPr>
        <w:footnoteReference w:id="181"/>
      </w:r>
      <w:r w:rsidRPr="00353F2F">
        <w:rPr>
          <w:rFonts w:ascii="Times New Roman" w:hAnsi="Times New Roman" w:cs="Times New Roman"/>
          <w:sz w:val="24"/>
          <w:szCs w:val="24"/>
        </w:rPr>
        <w:t xml:space="preserve"> While these provisions do not directly regulate corporate governance, they establish the constitutional mandate for legislative intervention in the governance of private enterprises that operate in strategically significant sectors of the Nigerian economy, including the oil and gas, power, and transportation sectors that are the primary arenas of project finance activity.</w:t>
      </w:r>
    </w:p>
    <w:p w14:paraId="0872D8A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Similarly, Section 44 prohibits the compulsory acquisition of property without prompt payment of fair and adequate compensation and access to courts for the determination of the claimant’s interest, and it is particular significant for the governance of project finance transactions in Nigeria.</w:t>
      </w:r>
      <w:r w:rsidRPr="00353F2F">
        <w:rPr>
          <w:rStyle w:val="FootnoteReference"/>
          <w:rFonts w:ascii="Times New Roman" w:hAnsi="Times New Roman" w:cs="Times New Roman"/>
          <w:sz w:val="24"/>
          <w:szCs w:val="24"/>
        </w:rPr>
        <w:footnoteReference w:id="182"/>
      </w:r>
      <w:r w:rsidRPr="00353F2F">
        <w:rPr>
          <w:rFonts w:ascii="Times New Roman" w:hAnsi="Times New Roman" w:cs="Times New Roman"/>
          <w:sz w:val="24"/>
          <w:szCs w:val="24"/>
        </w:rPr>
        <w:t xml:space="preserve"> This provision supports the enforceability of the security interests that project finance lenders take over project assets, providing constitutional protection against arbitrary state interference with the private property rights of project companies and their lenders. </w:t>
      </w:r>
    </w:p>
    <w:p w14:paraId="38EEC71A"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Likewise, the Constitution’s allocation of legislative competence between the Federal Government and State Governments, through its concurrent and exclusive legislative lists, have important </w:t>
      </w:r>
      <w:r w:rsidRPr="00353F2F">
        <w:rPr>
          <w:rFonts w:ascii="Times New Roman" w:hAnsi="Times New Roman" w:cs="Times New Roman"/>
          <w:sz w:val="24"/>
          <w:szCs w:val="24"/>
        </w:rPr>
        <w:lastRenderedPageBreak/>
        <w:t>governance implications for Nigerian project finance.</w:t>
      </w:r>
      <w:r w:rsidRPr="00353F2F">
        <w:rPr>
          <w:rStyle w:val="FootnoteReference"/>
          <w:rFonts w:ascii="Times New Roman" w:hAnsi="Times New Roman" w:cs="Times New Roman"/>
          <w:sz w:val="24"/>
          <w:szCs w:val="24"/>
        </w:rPr>
        <w:footnoteReference w:id="183"/>
      </w:r>
      <w:r w:rsidRPr="00353F2F">
        <w:rPr>
          <w:rFonts w:ascii="Times New Roman" w:hAnsi="Times New Roman" w:cs="Times New Roman"/>
          <w:sz w:val="24"/>
          <w:szCs w:val="24"/>
        </w:rPr>
        <w:t xml:space="preserve"> Major infrastructure sectors including petroleum, mining, electricity generation, transmission and distribution, and federal roads fall within the Federal Exclusive Legislative List, meaning that the legal framework governing project finance in these sectors is established at the federal level and applies uniformly across Nigeria. </w:t>
      </w:r>
    </w:p>
    <w:p w14:paraId="3B590604"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Finally, the constitutional framework, while providing the necessary legal foundations for corporate governance, has historically been insufficient to ensure the rule of law that effective corporate governance requires, given the political pressures on the judiciary and the challenges of regulatory independence in the Nigerian constitutional order.</w:t>
      </w:r>
      <w:r w:rsidRPr="00353F2F">
        <w:rPr>
          <w:rStyle w:val="FootnoteReference"/>
          <w:rFonts w:ascii="Times New Roman" w:hAnsi="Times New Roman" w:cs="Times New Roman"/>
          <w:sz w:val="24"/>
          <w:szCs w:val="24"/>
        </w:rPr>
        <w:footnoteReference w:id="184"/>
      </w:r>
      <w:r w:rsidRPr="00353F2F">
        <w:rPr>
          <w:rFonts w:ascii="Times New Roman" w:hAnsi="Times New Roman" w:cs="Times New Roman"/>
          <w:sz w:val="24"/>
          <w:szCs w:val="24"/>
        </w:rPr>
        <w:t xml:space="preserve"> The Constitution thus establishes both the legal foundations and the structural constraints of the corporate governance framework applicable to Nigerian project finance.</w:t>
      </w:r>
    </w:p>
    <w:p w14:paraId="61488B90" w14:textId="77777777" w:rsidR="00AB7F86" w:rsidRPr="00353F2F" w:rsidRDefault="00AB7F86" w:rsidP="00353F2F">
      <w:pPr>
        <w:pStyle w:val="Heading2"/>
        <w:spacing w:line="480" w:lineRule="auto"/>
        <w:rPr>
          <w:sz w:val="24"/>
          <w:szCs w:val="24"/>
        </w:rPr>
      </w:pPr>
      <w:r w:rsidRPr="00353F2F">
        <w:rPr>
          <w:sz w:val="24"/>
          <w:szCs w:val="24"/>
        </w:rPr>
        <w:t>3.1.2 Companies and Allied Matters Act 2020</w:t>
      </w:r>
    </w:p>
    <w:p w14:paraId="371EF16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Companies and Allied Matters Act 2020, constitutes the principal statutory instrument for corporate governance in Nigeria, establishing the foundational legal framework within which all Nigerian companies, including the Special Purpose Vehicles (SPVs) which serve as project companies in project finance transactions, are incorporated, governed, and regulated.</w:t>
      </w:r>
      <w:r w:rsidRPr="00353F2F">
        <w:rPr>
          <w:rStyle w:val="FootnoteReference"/>
          <w:rFonts w:ascii="Times New Roman" w:hAnsi="Times New Roman" w:cs="Times New Roman"/>
          <w:sz w:val="24"/>
          <w:szCs w:val="24"/>
        </w:rPr>
        <w:footnoteReference w:id="185"/>
      </w:r>
      <w:r w:rsidRPr="00353F2F">
        <w:rPr>
          <w:rFonts w:ascii="Times New Roman" w:hAnsi="Times New Roman" w:cs="Times New Roman"/>
          <w:sz w:val="24"/>
          <w:szCs w:val="24"/>
        </w:rPr>
        <w:t xml:space="preserve"> </w:t>
      </w:r>
    </w:p>
    <w:p w14:paraId="39209B78"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Act provides the fiduciary duties of directors for the first time in Nigerian statute, requiring directors to act in good faith in the best interests of the company, to exercise the care, skill and diligence that a reasonably diligent person with their knowledge and experience would exercise, and to avoid situations in which they have or may have interests conflicting with those of the </w:t>
      </w:r>
      <w:r w:rsidRPr="00353F2F">
        <w:rPr>
          <w:rFonts w:ascii="Times New Roman" w:hAnsi="Times New Roman" w:cs="Times New Roman"/>
          <w:sz w:val="24"/>
          <w:szCs w:val="24"/>
        </w:rPr>
        <w:lastRenderedPageBreak/>
        <w:t>company.</w:t>
      </w:r>
      <w:r w:rsidRPr="00353F2F">
        <w:rPr>
          <w:rStyle w:val="FootnoteReference"/>
          <w:rFonts w:ascii="Times New Roman" w:hAnsi="Times New Roman" w:cs="Times New Roman"/>
          <w:sz w:val="24"/>
          <w:szCs w:val="24"/>
        </w:rPr>
        <w:footnoteReference w:id="186"/>
      </w:r>
      <w:r w:rsidRPr="00353F2F">
        <w:rPr>
          <w:rFonts w:ascii="Times New Roman" w:hAnsi="Times New Roman" w:cs="Times New Roman"/>
          <w:sz w:val="24"/>
          <w:szCs w:val="24"/>
        </w:rPr>
        <w:t xml:space="preserve"> These statutory duties supplement the common law duties of directors recognized by Nigerian courts and provide project finance lenders with a clearer legal framework for enforcing governance standards through the project company’s board.</w:t>
      </w:r>
      <w:r w:rsidRPr="00353F2F">
        <w:rPr>
          <w:rStyle w:val="FootnoteReference"/>
          <w:rFonts w:ascii="Times New Roman" w:hAnsi="Times New Roman" w:cs="Times New Roman"/>
          <w:sz w:val="24"/>
          <w:szCs w:val="24"/>
        </w:rPr>
        <w:footnoteReference w:id="187"/>
      </w:r>
      <w:r w:rsidRPr="00353F2F">
        <w:rPr>
          <w:rFonts w:ascii="Times New Roman" w:hAnsi="Times New Roman" w:cs="Times New Roman"/>
          <w:sz w:val="24"/>
          <w:szCs w:val="24"/>
        </w:rPr>
        <w:t xml:space="preserve"> Section 271 of the Act specifically requires directors to disclose any personal interest in a contract or proposed contract with the company, a provision of particular relevance in project finance contexts where related-party transactions between the project company and its sponsors are common.</w:t>
      </w:r>
    </w:p>
    <w:p w14:paraId="32F91F44"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Furthermore, the introduction of a statutory requirement for all companies to maintain a register of significant controllers, identifying the ultimate beneficial owners of company shares, strengthens the transparency of SPV ownership structures and facilitates lender due diligence into the identity and reputation of project sponsors.</w:t>
      </w:r>
      <w:r w:rsidRPr="00353F2F">
        <w:rPr>
          <w:rStyle w:val="FootnoteReference"/>
          <w:rFonts w:ascii="Times New Roman" w:hAnsi="Times New Roman" w:cs="Times New Roman"/>
          <w:sz w:val="24"/>
          <w:szCs w:val="24"/>
        </w:rPr>
        <w:footnoteReference w:id="188"/>
      </w:r>
      <w:r w:rsidRPr="00353F2F">
        <w:rPr>
          <w:rFonts w:ascii="Times New Roman" w:hAnsi="Times New Roman" w:cs="Times New Roman"/>
          <w:sz w:val="24"/>
          <w:szCs w:val="24"/>
        </w:rPr>
        <w:t xml:space="preserve"> Also, the Act requires                                                                                                                                                                                                                                                                                                                                                                                                                                                                                                                                                                                                                                                                                                                                                                                                                                                                                                                                                                                                                                                                                                                                                                                                                                                                                                                                                                                                                                                                                                                                                                                                                                                                                                                                                                                                                                                                                                                                                                                                                                                                                                                                                                                                                                                                                                                                                                                                                                                                                                                                                                                                                                                                                                                                                                                                                                                                                                                                                                                                                                                                                                                                                                                                                                                                                                                                                                                                                                                                                                                                                                                                                                                                                                                                                                                                                                                                                                                                                                                                                                                                                                                                                                                                                                                                                                                                                                                                                                                                                                                                                                                                                                                                                                                                                                                                                                                                                                                                                                                                                                                                                                                                                                                                                                                                                                                                                                                                                                                                                                                                                                                                                                                                                                                                                                                                                                                                                                                                                                                                                                                                                                                                                                                                                                                                                                                                                                                                                                                                                                                                                                                                                                                                                                                                                                                                                                                                                                                                                                                                       larger companies to appoint qualified company secretaries, reinforce the administrative governance of project companies by ensuring that board meetings are properly conducted, board decisions are accurately recorded, and statutory filings are maintained on a timely basis.</w:t>
      </w:r>
      <w:r w:rsidRPr="00353F2F">
        <w:rPr>
          <w:rStyle w:val="FootnoteReference"/>
          <w:rFonts w:ascii="Times New Roman" w:hAnsi="Times New Roman" w:cs="Times New Roman"/>
          <w:sz w:val="24"/>
          <w:szCs w:val="24"/>
        </w:rPr>
        <w:footnoteReference w:id="189"/>
      </w:r>
      <w:r w:rsidRPr="00353F2F">
        <w:rPr>
          <w:rFonts w:ascii="Times New Roman" w:hAnsi="Times New Roman" w:cs="Times New Roman"/>
          <w:sz w:val="24"/>
          <w:szCs w:val="24"/>
        </w:rPr>
        <w:t xml:space="preserve"> The Act also substantially reformed the audit framework, strengthening auditor independence requirements and expanding the duties of audit committees in a manner that directly reinforces the financial governance arrangements required by project finance lenders.</w:t>
      </w:r>
      <w:r w:rsidRPr="00353F2F">
        <w:rPr>
          <w:rStyle w:val="FootnoteReference"/>
          <w:rFonts w:ascii="Times New Roman" w:hAnsi="Times New Roman" w:cs="Times New Roman"/>
          <w:sz w:val="24"/>
          <w:szCs w:val="24"/>
        </w:rPr>
        <w:footnoteReference w:id="190"/>
      </w:r>
      <w:r w:rsidRPr="00353F2F">
        <w:rPr>
          <w:rFonts w:ascii="Times New Roman" w:hAnsi="Times New Roman" w:cs="Times New Roman"/>
          <w:sz w:val="24"/>
          <w:szCs w:val="24"/>
        </w:rPr>
        <w:t xml:space="preserve">  The provisions on winding-up and insolvency, including the new corporate restructuring framework, are significant </w:t>
      </w:r>
      <w:r w:rsidRPr="00353F2F">
        <w:rPr>
          <w:rFonts w:ascii="Times New Roman" w:hAnsi="Times New Roman" w:cs="Times New Roman"/>
          <w:sz w:val="24"/>
          <w:szCs w:val="24"/>
        </w:rPr>
        <w:lastRenderedPageBreak/>
        <w:t>for lenders who need to understand the priority of their security interests in the event of project company default.</w:t>
      </w:r>
      <w:r w:rsidRPr="00353F2F">
        <w:rPr>
          <w:rStyle w:val="FootnoteReference"/>
          <w:rFonts w:ascii="Times New Roman" w:hAnsi="Times New Roman" w:cs="Times New Roman"/>
          <w:sz w:val="24"/>
          <w:szCs w:val="24"/>
        </w:rPr>
        <w:footnoteReference w:id="191"/>
      </w:r>
      <w:r w:rsidRPr="00353F2F">
        <w:rPr>
          <w:rFonts w:ascii="Times New Roman" w:hAnsi="Times New Roman" w:cs="Times New Roman"/>
          <w:sz w:val="24"/>
          <w:szCs w:val="24"/>
        </w:rPr>
        <w:t xml:space="preserve"> </w:t>
      </w:r>
    </w:p>
    <w:p w14:paraId="1A3130EC" w14:textId="77777777" w:rsidR="00AB7F86" w:rsidRPr="00353F2F" w:rsidRDefault="00AB7F86" w:rsidP="00353F2F">
      <w:pPr>
        <w:pStyle w:val="Heading2"/>
        <w:spacing w:line="480" w:lineRule="auto"/>
        <w:rPr>
          <w:sz w:val="24"/>
          <w:szCs w:val="24"/>
        </w:rPr>
      </w:pPr>
      <w:r w:rsidRPr="00353F2F">
        <w:rPr>
          <w:sz w:val="24"/>
          <w:szCs w:val="24"/>
        </w:rPr>
        <w:t>3.1.3 Banks and Other Financial Institutions Act 2020</w:t>
      </w:r>
    </w:p>
    <w:p w14:paraId="6C2E9091"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Banks and Other Financial Institutions Act 2020 (BOFIA 2020), which repealed and replaced the Banks and Other Financial Institutions Act 1991, is the primary legislative instrument governing the regulation and supervision of banks and other financial institutions in Nigeria and has critical significance for the governance of project finance transactions in which Nigerian financial institutions participate as lenders, arrangers, or financial advisers.</w:t>
      </w:r>
      <w:r w:rsidRPr="00353F2F">
        <w:rPr>
          <w:rStyle w:val="FootnoteReference"/>
          <w:rFonts w:ascii="Times New Roman" w:hAnsi="Times New Roman" w:cs="Times New Roman"/>
          <w:sz w:val="24"/>
          <w:szCs w:val="24"/>
        </w:rPr>
        <w:footnoteReference w:id="192"/>
      </w:r>
      <w:r w:rsidRPr="00353F2F">
        <w:rPr>
          <w:rFonts w:ascii="Times New Roman" w:hAnsi="Times New Roman" w:cs="Times New Roman"/>
          <w:sz w:val="24"/>
          <w:szCs w:val="24"/>
        </w:rPr>
        <w:t xml:space="preserve"> BOFIA 2020 significantly strengthened the regulatory framework for financial institution governance, introducing enhanced requirements for institutional governance quality that directly affect the capacity and willingness of Nigerian banks to participate in project finance transactions.</w:t>
      </w:r>
    </w:p>
    <w:p w14:paraId="516D0BC7"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BOFIA grants the Central Bank of Nigeria comprehensive supervisory authority over all licensed banks and other financial institutions, including the power to prescribe minimum governance standards, conduct on-site examinations, issue binding directives on governance matters, and, in extremis, remove directors and senior management who fail to meet applicable governance standards.</w:t>
      </w:r>
      <w:r w:rsidRPr="00353F2F">
        <w:rPr>
          <w:rStyle w:val="FootnoteReference"/>
          <w:rFonts w:ascii="Times New Roman" w:hAnsi="Times New Roman" w:cs="Times New Roman"/>
          <w:sz w:val="24"/>
          <w:szCs w:val="24"/>
        </w:rPr>
        <w:footnoteReference w:id="193"/>
      </w:r>
      <w:r w:rsidRPr="00353F2F">
        <w:rPr>
          <w:rFonts w:ascii="Times New Roman" w:hAnsi="Times New Roman" w:cs="Times New Roman"/>
          <w:sz w:val="24"/>
          <w:szCs w:val="24"/>
        </w:rPr>
        <w:t xml:space="preserve"> These supervisory powers provide the CBN with the legal tools to enforce governance standards within Nigerian financial institutions that participate in project finance transactions, ensuring that the lender side of the project finance governance equation meets minimum quality standards.</w:t>
      </w:r>
    </w:p>
    <w:p w14:paraId="5F69A9EE"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Act’s provisions on large exposures and connected lending are particularly important for project finance governance. It imposes limits on the aggregate credit exposure that a bank may maintain to a single borrower or group of connected borrowers, with exposure exceeding the prescribed threshold requiring prior CBN approval.</w:t>
      </w:r>
      <w:r w:rsidRPr="00353F2F">
        <w:rPr>
          <w:rStyle w:val="FootnoteReference"/>
          <w:rFonts w:ascii="Times New Roman" w:hAnsi="Times New Roman" w:cs="Times New Roman"/>
          <w:sz w:val="24"/>
          <w:szCs w:val="24"/>
        </w:rPr>
        <w:footnoteReference w:id="194"/>
      </w:r>
      <w:r w:rsidRPr="00353F2F">
        <w:rPr>
          <w:rFonts w:ascii="Times New Roman" w:hAnsi="Times New Roman" w:cs="Times New Roman"/>
          <w:sz w:val="24"/>
          <w:szCs w:val="24"/>
        </w:rPr>
        <w:t xml:space="preserve"> These limits effectively constrain the size of project finance exposures that any single Nigerian bank can assume, creating an institutional imperative for syndication of larger project finance transactions among multiple domestic lenders and/or with international financial institutions. The resulting multi-lender structure creates additional governance complexity, requiring coordination of governance monitoring activities among syndicate members, while also distributing governance oversight functions across multiple sophisticated institutions with complementary expertise.</w:t>
      </w:r>
    </w:p>
    <w:p w14:paraId="73A90B17"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requirement under BOFIA for banks to maintain adequate provisions against non-performing credit exposures creates incentives for Nigerian lenders to impose robust governance safeguards on project borrowers to minimize credit impairment risk.</w:t>
      </w:r>
      <w:r w:rsidRPr="00353F2F">
        <w:rPr>
          <w:rStyle w:val="FootnoteReference"/>
          <w:rFonts w:ascii="Times New Roman" w:hAnsi="Times New Roman" w:cs="Times New Roman"/>
          <w:sz w:val="24"/>
          <w:szCs w:val="24"/>
        </w:rPr>
        <w:footnoteReference w:id="195"/>
      </w:r>
      <w:r w:rsidRPr="00353F2F">
        <w:rPr>
          <w:rFonts w:ascii="Times New Roman" w:hAnsi="Times New Roman" w:cs="Times New Roman"/>
          <w:sz w:val="24"/>
          <w:szCs w:val="24"/>
        </w:rPr>
        <w:t xml:space="preserve"> Banks that fail to maintain adequate governance monitoring of their project finance exposures face regulatory scrutiny and potential capital inadequacy consequences when those exposures deteriorate, creating a regulatory incentive structure that reinforces the commercial incentives for rigorous lender governance oversight.</w:t>
      </w:r>
      <w:r w:rsidRPr="00353F2F">
        <w:rPr>
          <w:rStyle w:val="FootnoteReference"/>
          <w:rFonts w:ascii="Times New Roman" w:hAnsi="Times New Roman" w:cs="Times New Roman"/>
          <w:sz w:val="24"/>
          <w:szCs w:val="24"/>
        </w:rPr>
        <w:footnoteReference w:id="196"/>
      </w:r>
      <w:r w:rsidRPr="00353F2F">
        <w:rPr>
          <w:rFonts w:ascii="Times New Roman" w:hAnsi="Times New Roman" w:cs="Times New Roman"/>
          <w:sz w:val="24"/>
          <w:szCs w:val="24"/>
        </w:rPr>
        <w:t xml:space="preserve"> The CBN’s Risk-Based Supervision Framework, issued under the authority conferred by BOFIA, establishes the supervisory methodology for evaluating the governance and risk management </w:t>
      </w:r>
      <w:r w:rsidRPr="00353F2F">
        <w:rPr>
          <w:rFonts w:ascii="Times New Roman" w:hAnsi="Times New Roman" w:cs="Times New Roman"/>
          <w:sz w:val="24"/>
          <w:szCs w:val="24"/>
        </w:rPr>
        <w:lastRenderedPageBreak/>
        <w:t>quality of supervised institutions, with direct implications for how Nigerian project finance lenders are assessed and supervised.</w:t>
      </w:r>
      <w:r w:rsidRPr="00353F2F">
        <w:rPr>
          <w:rStyle w:val="FootnoteReference"/>
          <w:rFonts w:ascii="Times New Roman" w:hAnsi="Times New Roman" w:cs="Times New Roman"/>
          <w:sz w:val="24"/>
          <w:szCs w:val="24"/>
        </w:rPr>
        <w:footnoteReference w:id="197"/>
      </w:r>
      <w:r w:rsidRPr="00353F2F">
        <w:rPr>
          <w:rFonts w:ascii="Times New Roman" w:hAnsi="Times New Roman" w:cs="Times New Roman"/>
          <w:sz w:val="24"/>
          <w:szCs w:val="24"/>
        </w:rPr>
        <w:t xml:space="preserve"> </w:t>
      </w:r>
    </w:p>
    <w:p w14:paraId="371B6652" w14:textId="77777777" w:rsidR="00AB7F86" w:rsidRPr="00353F2F" w:rsidRDefault="00AB7F86" w:rsidP="00353F2F">
      <w:pPr>
        <w:pStyle w:val="Heading2"/>
        <w:spacing w:line="480" w:lineRule="auto"/>
        <w:rPr>
          <w:sz w:val="24"/>
          <w:szCs w:val="24"/>
        </w:rPr>
      </w:pPr>
      <w:r w:rsidRPr="00353F2F">
        <w:rPr>
          <w:sz w:val="24"/>
          <w:szCs w:val="24"/>
        </w:rPr>
        <w:t>3.1.4 Investments and Securities Act 2025</w:t>
      </w:r>
    </w:p>
    <w:p w14:paraId="31312019"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Investments and Securities Act 2007 (ISA 2025), establishes the legal framework for capital market regulation in Nigeria and has important implications for project finance governance, particularly for project companies that seek to raise capital through the Nigerian capital markets or whose sponsors are listed entities subject to capital market governance requirements.</w:t>
      </w:r>
      <w:r w:rsidRPr="00353F2F">
        <w:rPr>
          <w:rStyle w:val="FootnoteReference"/>
          <w:rFonts w:ascii="Times New Roman" w:hAnsi="Times New Roman" w:cs="Times New Roman"/>
          <w:sz w:val="24"/>
          <w:szCs w:val="24"/>
        </w:rPr>
        <w:footnoteReference w:id="198"/>
      </w:r>
      <w:r w:rsidRPr="00353F2F">
        <w:rPr>
          <w:rFonts w:ascii="Times New Roman" w:hAnsi="Times New Roman" w:cs="Times New Roman"/>
          <w:sz w:val="24"/>
          <w:szCs w:val="24"/>
        </w:rPr>
        <w:t xml:space="preserve"> The Act vests broad regulatory and supervisory authority in the Securities and Exchange Commission, empowering it to register and regulate capital market operators, supervise securities exchanges and capital trade points, and enforce compliance with applicable governance standards among listed companies and capital market participants.</w:t>
      </w:r>
      <w:r w:rsidRPr="00353F2F">
        <w:rPr>
          <w:rStyle w:val="FootnoteReference"/>
          <w:rFonts w:ascii="Times New Roman" w:hAnsi="Times New Roman" w:cs="Times New Roman"/>
          <w:sz w:val="24"/>
          <w:szCs w:val="24"/>
        </w:rPr>
        <w:footnoteReference w:id="199"/>
      </w:r>
    </w:p>
    <w:p w14:paraId="44A91D6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ISA 2025’s provisions on insider trading, market manipulation, and financial reporting fraud are directly relevant to the governance of project companies whose sponsors are publicly listed entities, since the governance failings of listed project sponsors, including inadequate disclosure of project risks and related-party transactions, may constitute capital market violations with consequences that affect the bankability of their project finance transactions.</w:t>
      </w:r>
      <w:r w:rsidRPr="00353F2F">
        <w:rPr>
          <w:rStyle w:val="FootnoteReference"/>
          <w:rFonts w:ascii="Times New Roman" w:hAnsi="Times New Roman" w:cs="Times New Roman"/>
          <w:sz w:val="24"/>
          <w:szCs w:val="24"/>
        </w:rPr>
        <w:footnoteReference w:id="200"/>
      </w:r>
      <w:r w:rsidRPr="00353F2F">
        <w:rPr>
          <w:rFonts w:ascii="Times New Roman" w:hAnsi="Times New Roman" w:cs="Times New Roman"/>
          <w:sz w:val="24"/>
          <w:szCs w:val="24"/>
        </w:rPr>
        <w:t xml:space="preserve"> The Act’s mandatory takeover code provisions, which regulate the acquisition of substantial shareholdings in listed companies, have governance implications for project finance transactions involving change-of-control provisions, since a change of control at the sponsor level triggered by a </w:t>
      </w:r>
      <w:r w:rsidRPr="00353F2F">
        <w:rPr>
          <w:rFonts w:ascii="Times New Roman" w:hAnsi="Times New Roman" w:cs="Times New Roman"/>
          <w:sz w:val="24"/>
          <w:szCs w:val="24"/>
        </w:rPr>
        <w:lastRenderedPageBreak/>
        <w:t>mandatory bid could raise lender consent obligations under the project finance documentation.</w:t>
      </w:r>
      <w:r w:rsidRPr="00353F2F">
        <w:rPr>
          <w:rStyle w:val="FootnoteReference"/>
          <w:rFonts w:ascii="Times New Roman" w:hAnsi="Times New Roman" w:cs="Times New Roman"/>
          <w:sz w:val="24"/>
          <w:szCs w:val="24"/>
        </w:rPr>
        <w:footnoteReference w:id="201"/>
      </w:r>
      <w:r w:rsidRPr="00353F2F">
        <w:rPr>
          <w:rFonts w:ascii="Times New Roman" w:hAnsi="Times New Roman" w:cs="Times New Roman"/>
          <w:sz w:val="24"/>
          <w:szCs w:val="24"/>
        </w:rPr>
        <w:t xml:space="preserve"> The Act also provides the legislative basis for the regulation of collective investment schemes, bonds, and other debt instruments that may be used to raise project finance capital in the Nigerian domestic market, establishing a governance framework for the disclosure and reporting obligations of project finance bond issuers.</w:t>
      </w:r>
      <w:r w:rsidRPr="00353F2F">
        <w:rPr>
          <w:rStyle w:val="FootnoteReference"/>
          <w:rFonts w:ascii="Times New Roman" w:hAnsi="Times New Roman" w:cs="Times New Roman"/>
          <w:sz w:val="24"/>
          <w:szCs w:val="24"/>
        </w:rPr>
        <w:footnoteReference w:id="202"/>
      </w:r>
      <w:r w:rsidRPr="00353F2F">
        <w:rPr>
          <w:rFonts w:ascii="Times New Roman" w:hAnsi="Times New Roman" w:cs="Times New Roman"/>
          <w:sz w:val="24"/>
          <w:szCs w:val="24"/>
        </w:rPr>
        <w:t xml:space="preserve"> The SEC’s rules on corporate governance for public companies, issued under the authority of the ISA 2025, establish governance standards specifically applicable to listed entities that complement the broader standards of the NCCG 2018.</w:t>
      </w:r>
      <w:r w:rsidRPr="00353F2F">
        <w:rPr>
          <w:rStyle w:val="FootnoteReference"/>
          <w:rFonts w:ascii="Times New Roman" w:hAnsi="Times New Roman" w:cs="Times New Roman"/>
          <w:sz w:val="24"/>
          <w:szCs w:val="24"/>
        </w:rPr>
        <w:footnoteReference w:id="203"/>
      </w:r>
      <w:r w:rsidRPr="00353F2F">
        <w:rPr>
          <w:rFonts w:ascii="Times New Roman" w:hAnsi="Times New Roman" w:cs="Times New Roman"/>
          <w:sz w:val="24"/>
          <w:szCs w:val="24"/>
        </w:rPr>
        <w:t xml:space="preserve"> </w:t>
      </w:r>
    </w:p>
    <w:p w14:paraId="26DA96DF" w14:textId="77777777" w:rsidR="00AB7F86" w:rsidRPr="00353F2F" w:rsidRDefault="00AB7F86" w:rsidP="00353F2F">
      <w:pPr>
        <w:pStyle w:val="Heading2"/>
        <w:spacing w:line="480" w:lineRule="auto"/>
        <w:rPr>
          <w:sz w:val="24"/>
          <w:szCs w:val="24"/>
        </w:rPr>
      </w:pPr>
      <w:r w:rsidRPr="00353F2F">
        <w:rPr>
          <w:sz w:val="24"/>
          <w:szCs w:val="24"/>
        </w:rPr>
        <w:t>3.1.5 Central Bank of Nigeria Act 2007</w:t>
      </w:r>
    </w:p>
    <w:p w14:paraId="2ADAAC4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Central Bank of Nigeria Act 2007, which provides the constitutional and statutory basis for the CBN as Nigeria’s central monetary authority and principal financial system regulator, establishes the overarching governance framework within which the financial sector dimensions of project finance in Nigeria operate.</w:t>
      </w:r>
      <w:r w:rsidRPr="00353F2F">
        <w:rPr>
          <w:rStyle w:val="FootnoteReference"/>
          <w:rFonts w:ascii="Times New Roman" w:hAnsi="Times New Roman" w:cs="Times New Roman"/>
          <w:sz w:val="24"/>
          <w:szCs w:val="24"/>
        </w:rPr>
        <w:footnoteReference w:id="204"/>
      </w:r>
      <w:r w:rsidRPr="00353F2F">
        <w:rPr>
          <w:rFonts w:ascii="Times New Roman" w:hAnsi="Times New Roman" w:cs="Times New Roman"/>
          <w:sz w:val="24"/>
          <w:szCs w:val="24"/>
        </w:rPr>
        <w:t xml:space="preserve"> The Act vests in the CBN the principal mandate for ensuring monetary and financial stability in Nigeria, including the authority to regulate and supervise banks and other financial institutions, to manage foreign exchange reserves, and to act as lender of last resort and fiscal agent of the federal government.</w:t>
      </w:r>
      <w:r w:rsidRPr="00353F2F">
        <w:rPr>
          <w:rStyle w:val="FootnoteReference"/>
          <w:rFonts w:ascii="Times New Roman" w:hAnsi="Times New Roman" w:cs="Times New Roman"/>
          <w:sz w:val="24"/>
          <w:szCs w:val="24"/>
        </w:rPr>
        <w:footnoteReference w:id="205"/>
      </w:r>
    </w:p>
    <w:p w14:paraId="2210BDC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CBN Act’s provisions on the governance of the CBN itself, including the appointment and qualifications of the CBN Governor and Deputy Governors, the constitution and functions of the CBN Board, and the independence of the CBN from executive direction in the exercise of its </w:t>
      </w:r>
      <w:r w:rsidRPr="00353F2F">
        <w:rPr>
          <w:rFonts w:ascii="Times New Roman" w:hAnsi="Times New Roman" w:cs="Times New Roman"/>
          <w:sz w:val="24"/>
          <w:szCs w:val="24"/>
        </w:rPr>
        <w:lastRenderedPageBreak/>
        <w:t>monetary policy functions, are significant because the quality of CBN governance directly affects the quality of the regulatory framework within which Nigerian project finance lenders operate.</w:t>
      </w:r>
      <w:r w:rsidRPr="00353F2F">
        <w:rPr>
          <w:rStyle w:val="FootnoteReference"/>
          <w:rFonts w:ascii="Times New Roman" w:hAnsi="Times New Roman" w:cs="Times New Roman"/>
          <w:sz w:val="24"/>
          <w:szCs w:val="24"/>
        </w:rPr>
        <w:footnoteReference w:id="206"/>
      </w:r>
      <w:r w:rsidRPr="00353F2F">
        <w:rPr>
          <w:rFonts w:ascii="Times New Roman" w:hAnsi="Times New Roman" w:cs="Times New Roman"/>
          <w:sz w:val="24"/>
          <w:szCs w:val="24"/>
        </w:rPr>
        <w:t xml:space="preserve"> A well-governed CBN provides a credible and stable regulatory environment that reduces regulatory risk for project finance transactions, while regulatory instability or politicization of the CBN’s supervisory function can generate governance uncertainty that lenders factor into their bankability assessments.</w:t>
      </w:r>
    </w:p>
    <w:p w14:paraId="774DFAF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CBN Act’s provisions on the regulation of financial system stability, including the CBN’s powers to issue guidelines and circulars on governance matters applicable to financial institutions, provide the statutory basis for the extensive body of CBN governance regulation that supplements BOFIA 2020 and constitutes a major component of the legal framework for project finance governance in Nigeria.</w:t>
      </w:r>
      <w:r w:rsidRPr="00353F2F">
        <w:rPr>
          <w:rStyle w:val="FootnoteReference"/>
          <w:rFonts w:ascii="Times New Roman" w:hAnsi="Times New Roman" w:cs="Times New Roman"/>
          <w:sz w:val="24"/>
          <w:szCs w:val="24"/>
        </w:rPr>
        <w:footnoteReference w:id="207"/>
      </w:r>
      <w:r w:rsidRPr="00353F2F">
        <w:rPr>
          <w:rFonts w:ascii="Times New Roman" w:hAnsi="Times New Roman" w:cs="Times New Roman"/>
          <w:sz w:val="24"/>
          <w:szCs w:val="24"/>
        </w:rPr>
        <w:t xml:space="preserve"> These guidelines and circulars, while not Acts of the National Assembly, have the force of law by virtue of the powers vested in the CBN by statute and must be complied with by all banks and financial institutions subject to CBN supervision.</w:t>
      </w:r>
      <w:r w:rsidRPr="00353F2F">
        <w:rPr>
          <w:rStyle w:val="FootnoteReference"/>
          <w:rFonts w:ascii="Times New Roman" w:hAnsi="Times New Roman" w:cs="Times New Roman"/>
          <w:sz w:val="24"/>
          <w:szCs w:val="24"/>
        </w:rPr>
        <w:footnoteReference w:id="208"/>
      </w:r>
      <w:r w:rsidRPr="00353F2F">
        <w:rPr>
          <w:rFonts w:ascii="Times New Roman" w:hAnsi="Times New Roman" w:cs="Times New Roman"/>
          <w:sz w:val="24"/>
          <w:szCs w:val="24"/>
        </w:rPr>
        <w:t xml:space="preserve"> The CBN’s Guidelines on Internal Controls for Financial Institutions, issued under this authority, establish minimum standards for the internal control frameworks of banks that have direct implications for their governance of project finance credit exposures.</w:t>
      </w:r>
      <w:r w:rsidRPr="00353F2F">
        <w:rPr>
          <w:rStyle w:val="FootnoteReference"/>
          <w:rFonts w:ascii="Times New Roman" w:hAnsi="Times New Roman" w:cs="Times New Roman"/>
          <w:sz w:val="24"/>
          <w:szCs w:val="24"/>
        </w:rPr>
        <w:footnoteReference w:id="209"/>
      </w:r>
      <w:r w:rsidRPr="00353F2F">
        <w:rPr>
          <w:rFonts w:ascii="Times New Roman" w:hAnsi="Times New Roman" w:cs="Times New Roman"/>
          <w:sz w:val="24"/>
          <w:szCs w:val="24"/>
        </w:rPr>
        <w:t xml:space="preserve"> </w:t>
      </w:r>
    </w:p>
    <w:p w14:paraId="05A10CD4"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3.1.6 Financial Reporting Council of Nigeria Act 2011</w:t>
      </w:r>
    </w:p>
    <w:p w14:paraId="0E75DEA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Financial Reporting Council of Nigeria Act 2011 established the Financial Reporting Council of Nigeria as the apex regulatory body for financial reporting, auditing, and corporate governance </w:t>
      </w:r>
      <w:r w:rsidRPr="00353F2F">
        <w:rPr>
          <w:rFonts w:ascii="Times New Roman" w:hAnsi="Times New Roman" w:cs="Times New Roman"/>
          <w:sz w:val="24"/>
          <w:szCs w:val="24"/>
        </w:rPr>
        <w:lastRenderedPageBreak/>
        <w:t>in Nigeria, creating for the first time a single, unified institutional framework for the development and enforcement of accounting standards, auditing standards, and governance codes applicable to Nigerian companies.</w:t>
      </w:r>
      <w:r w:rsidRPr="00353F2F">
        <w:rPr>
          <w:rStyle w:val="FootnoteReference"/>
          <w:rFonts w:ascii="Times New Roman" w:hAnsi="Times New Roman" w:cs="Times New Roman"/>
          <w:sz w:val="24"/>
          <w:szCs w:val="24"/>
        </w:rPr>
        <w:footnoteReference w:id="210"/>
      </w:r>
      <w:r w:rsidRPr="00353F2F">
        <w:rPr>
          <w:rFonts w:ascii="Times New Roman" w:hAnsi="Times New Roman" w:cs="Times New Roman"/>
          <w:sz w:val="24"/>
          <w:szCs w:val="24"/>
        </w:rPr>
        <w:t xml:space="preserve"> Prior to the establishment of the FRCN, the Nigerian financial reporting and governance landscape was fragmented across multiple bodies, including the Nigerian Accounting Standards Board, the Institute of Chartered Accountants of Nigeria, and various regulatory agencies, with insufficient coordination and limited enforcement capacity.</w:t>
      </w:r>
    </w:p>
    <w:p w14:paraId="5AECA5D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FRCN Act vests in the Council the authority to develop, issue, and enforce accounting standards, auditing standards, actuarial standards, and governance codes, to investigate reported breaches of applicable standards, and to impose sanctions, including fines, suspension of licenses, and deregistration, on entities and individuals that fail to comply with applicable requirements.</w:t>
      </w:r>
      <w:r w:rsidRPr="00353F2F">
        <w:rPr>
          <w:rStyle w:val="FootnoteReference"/>
          <w:rFonts w:ascii="Times New Roman" w:hAnsi="Times New Roman" w:cs="Times New Roman"/>
          <w:sz w:val="24"/>
          <w:szCs w:val="24"/>
        </w:rPr>
        <w:footnoteReference w:id="211"/>
      </w:r>
      <w:r w:rsidRPr="00353F2F">
        <w:rPr>
          <w:rFonts w:ascii="Times New Roman" w:hAnsi="Times New Roman" w:cs="Times New Roman"/>
          <w:sz w:val="24"/>
          <w:szCs w:val="24"/>
        </w:rPr>
        <w:t xml:space="preserve"> These enforcement powers, previously absent from the Nigerian governance regulatory framework, significantly strengthen the FRCN’s capacity to ensure substantive rather than merely formal compliance with governance standards, a distinction that is particularly important in the project finance context, where lenders require genuine governance quality rather than the ceremonial adoption of governance forms.</w:t>
      </w:r>
      <w:r w:rsidRPr="00353F2F">
        <w:rPr>
          <w:rStyle w:val="FootnoteReference"/>
          <w:rFonts w:ascii="Times New Roman" w:hAnsi="Times New Roman" w:cs="Times New Roman"/>
          <w:sz w:val="24"/>
          <w:szCs w:val="24"/>
        </w:rPr>
        <w:footnoteReference w:id="212"/>
      </w:r>
      <w:r w:rsidRPr="00353F2F">
        <w:rPr>
          <w:rFonts w:ascii="Times New Roman" w:hAnsi="Times New Roman" w:cs="Times New Roman"/>
          <w:sz w:val="24"/>
          <w:szCs w:val="24"/>
        </w:rPr>
        <w:t xml:space="preserve"> The Act’s requirement that all public interest entities, including listed companies, banks, insurance companies, and other regulated entities, comply with the governance standards established by the FRCN ensures broad coverage of the corporate entities most likely to be involved in Nigerian project finance transactions.</w:t>
      </w:r>
      <w:r w:rsidRPr="00353F2F">
        <w:rPr>
          <w:rStyle w:val="FootnoteReference"/>
          <w:rFonts w:ascii="Times New Roman" w:hAnsi="Times New Roman" w:cs="Times New Roman"/>
          <w:sz w:val="24"/>
          <w:szCs w:val="24"/>
        </w:rPr>
        <w:footnoteReference w:id="213"/>
      </w:r>
    </w:p>
    <w:p w14:paraId="43A3AAE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FRCN’s issuance of the Nigerian Code of Corporate Governance 2018, under the authority conferred by the FRCN Act, represents the most significant exercise of the Council’s standard-setting function to date.</w:t>
      </w:r>
      <w:r w:rsidRPr="00353F2F">
        <w:rPr>
          <w:rStyle w:val="FootnoteReference"/>
          <w:rFonts w:ascii="Times New Roman" w:hAnsi="Times New Roman" w:cs="Times New Roman"/>
          <w:sz w:val="24"/>
          <w:szCs w:val="24"/>
        </w:rPr>
        <w:footnoteReference w:id="214"/>
      </w:r>
      <w:r w:rsidRPr="00353F2F">
        <w:rPr>
          <w:rFonts w:ascii="Times New Roman" w:hAnsi="Times New Roman" w:cs="Times New Roman"/>
          <w:sz w:val="24"/>
          <w:szCs w:val="24"/>
        </w:rPr>
        <w:t xml:space="preserve"> The Code, examined in more detail in Section 3.1.8 below, establishes a comprehensive framework of governance principles applicable to public companies, private companies above a specified threshold, and entities of significant public interest. Its adoption represents a significant advancement of the Nigerian governance framework, incorporating international best practices from the OECD Principles, the UK Corporate Governance Code, and the King IV Report on Corporate Governance, while adapting these international standards to the specific characteristics and challenges of the Nigerian corporate environment.</w:t>
      </w:r>
      <w:r w:rsidRPr="00353F2F">
        <w:rPr>
          <w:rStyle w:val="FootnoteReference"/>
          <w:rFonts w:ascii="Times New Roman" w:hAnsi="Times New Roman" w:cs="Times New Roman"/>
          <w:sz w:val="24"/>
          <w:szCs w:val="24"/>
        </w:rPr>
        <w:footnoteReference w:id="215"/>
      </w:r>
      <w:r w:rsidRPr="00353F2F">
        <w:rPr>
          <w:rFonts w:ascii="Times New Roman" w:hAnsi="Times New Roman" w:cs="Times New Roman"/>
          <w:sz w:val="24"/>
          <w:szCs w:val="24"/>
        </w:rPr>
        <w:t xml:space="preserve"> </w:t>
      </w:r>
    </w:p>
    <w:p w14:paraId="78E16DA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3.1.7 Infrastructure Concession Regulatory Commission Act 2005</w:t>
      </w:r>
    </w:p>
    <w:p w14:paraId="7B37E5B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Infrastructure Concession Regulatory Commission (Establishment) Act 2005 represents the foundational legislative instrument for project finance governance in Nigeria’s infrastructure sectors, establishing the legal framework for private sector participation in federal government infrastructure through concession and public-private partnership arrangements.</w:t>
      </w:r>
      <w:r w:rsidRPr="00353F2F">
        <w:rPr>
          <w:rStyle w:val="FootnoteReference"/>
          <w:rFonts w:ascii="Times New Roman" w:hAnsi="Times New Roman" w:cs="Times New Roman"/>
          <w:sz w:val="24"/>
          <w:szCs w:val="24"/>
        </w:rPr>
        <w:footnoteReference w:id="216"/>
      </w:r>
      <w:r w:rsidRPr="00353F2F">
        <w:rPr>
          <w:rFonts w:ascii="Times New Roman" w:hAnsi="Times New Roman" w:cs="Times New Roman"/>
          <w:sz w:val="24"/>
          <w:szCs w:val="24"/>
        </w:rPr>
        <w:t xml:space="preserve"> The Act creates the ICRC as a </w:t>
      </w:r>
      <w:proofErr w:type="spellStart"/>
      <w:r w:rsidRPr="00353F2F">
        <w:rPr>
          <w:rFonts w:ascii="Times New Roman" w:hAnsi="Times New Roman" w:cs="Times New Roman"/>
          <w:sz w:val="24"/>
          <w:szCs w:val="24"/>
        </w:rPr>
        <w:t>specialised</w:t>
      </w:r>
      <w:proofErr w:type="spellEnd"/>
      <w:r w:rsidRPr="00353F2F">
        <w:rPr>
          <w:rFonts w:ascii="Times New Roman" w:hAnsi="Times New Roman" w:cs="Times New Roman"/>
          <w:sz w:val="24"/>
          <w:szCs w:val="24"/>
        </w:rPr>
        <w:t xml:space="preserve"> regulatory body with responsibility for overseeing the implementation of concession agreements between the federal government and private concessionaire companies, with the mandate to promote private sector investment in infrastructure, protect the public interest in concession arrangements, and ensure that concession agreements comply with applicable legal and policy requirements.</w:t>
      </w:r>
    </w:p>
    <w:p w14:paraId="2A75C101"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ICRC Act establishes important governance requirements for project companies that seek to develop infrastructure through concession arrangements with the federal government. Concession agreements approved by the ICRC must comply with the governance standards established in the ICRC’s regulatory guidelines and in the federal government’s PPP policy framework, including requirements for the governance of the project company, the management of conflicts of interest, the transparency of procurement processes, and the accountability of the concessionaire for project performance.</w:t>
      </w:r>
      <w:r w:rsidRPr="00353F2F">
        <w:rPr>
          <w:rStyle w:val="FootnoteReference"/>
          <w:rFonts w:ascii="Times New Roman" w:hAnsi="Times New Roman" w:cs="Times New Roman"/>
          <w:sz w:val="24"/>
          <w:szCs w:val="24"/>
        </w:rPr>
        <w:footnoteReference w:id="217"/>
      </w:r>
      <w:r w:rsidRPr="00353F2F">
        <w:rPr>
          <w:rFonts w:ascii="Times New Roman" w:hAnsi="Times New Roman" w:cs="Times New Roman"/>
          <w:sz w:val="24"/>
          <w:szCs w:val="24"/>
        </w:rPr>
        <w:t xml:space="preserve"> The Act requires all concession agreements to include provisions for independent monitoring of concessionaire performance, regular reporting to the ICRC on project development and operational outcomes, and the resolution of disputes through arbitration or other alternative dispute resolution mechanisms.</w:t>
      </w:r>
      <w:r w:rsidRPr="00353F2F">
        <w:rPr>
          <w:rStyle w:val="FootnoteReference"/>
          <w:rFonts w:ascii="Times New Roman" w:hAnsi="Times New Roman" w:cs="Times New Roman"/>
          <w:sz w:val="24"/>
          <w:szCs w:val="24"/>
        </w:rPr>
        <w:footnoteReference w:id="218"/>
      </w:r>
      <w:r w:rsidRPr="00353F2F">
        <w:rPr>
          <w:rFonts w:ascii="Times New Roman" w:hAnsi="Times New Roman" w:cs="Times New Roman"/>
          <w:sz w:val="24"/>
          <w:szCs w:val="24"/>
        </w:rPr>
        <w:t xml:space="preserve"> These requirements establish a statutory governance framework for infrastructure project companies that complements the corporate governance framework established by CAMA 2020 and the NCCG 2018.</w:t>
      </w:r>
    </w:p>
    <w:p w14:paraId="027A1D8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ICRC Act’s provisions on the amendment and termination of concession agreements have important implications for project finance bankability and risk management. The Act provides that concession agreements may be amended by agreement between the parties or terminated by the government in circumstances of fundamental breach by the concessionaire or in the public interest, subject to the payment of compensation in accordance with the terms of the agreement.</w:t>
      </w:r>
      <w:r w:rsidRPr="00353F2F">
        <w:rPr>
          <w:rStyle w:val="FootnoteReference"/>
          <w:rFonts w:ascii="Times New Roman" w:hAnsi="Times New Roman" w:cs="Times New Roman"/>
          <w:sz w:val="24"/>
          <w:szCs w:val="24"/>
        </w:rPr>
        <w:footnoteReference w:id="219"/>
      </w:r>
      <w:r w:rsidRPr="00353F2F">
        <w:rPr>
          <w:rFonts w:ascii="Times New Roman" w:hAnsi="Times New Roman" w:cs="Times New Roman"/>
          <w:sz w:val="24"/>
          <w:szCs w:val="24"/>
        </w:rPr>
        <w:t xml:space="preserve"> These provisions create a residual political risk for project finance lenders, the risk of adverse government action that reduces or eliminates project revenues, that must be managed through the negotiation of robust compensation provisions in concession agreements, the procurement of political risk </w:t>
      </w:r>
      <w:r w:rsidRPr="00353F2F">
        <w:rPr>
          <w:rFonts w:ascii="Times New Roman" w:hAnsi="Times New Roman" w:cs="Times New Roman"/>
          <w:sz w:val="24"/>
          <w:szCs w:val="24"/>
        </w:rPr>
        <w:lastRenderedPageBreak/>
        <w:t>insurance, and the inclusion of government support mechanisms in the project finance structure. The Federal Ministry of Finance’s PPP Manual, issued to guide the implementation of the ICRC Act, provides detailed guidance on the governance arrangements applicable to PPP projects, including standard form concession agreement terms designed to provide the governance certainty that project finance lenders require.</w:t>
      </w:r>
      <w:r w:rsidRPr="00353F2F">
        <w:rPr>
          <w:rStyle w:val="FootnoteReference"/>
          <w:rFonts w:ascii="Times New Roman" w:hAnsi="Times New Roman" w:cs="Times New Roman"/>
          <w:sz w:val="24"/>
          <w:szCs w:val="24"/>
        </w:rPr>
        <w:footnoteReference w:id="220"/>
      </w:r>
      <w:r w:rsidRPr="00353F2F">
        <w:rPr>
          <w:rFonts w:ascii="Times New Roman" w:hAnsi="Times New Roman" w:cs="Times New Roman"/>
          <w:sz w:val="24"/>
          <w:szCs w:val="24"/>
        </w:rPr>
        <w:t xml:space="preserve"> </w:t>
      </w:r>
    </w:p>
    <w:p w14:paraId="21CAA50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3.1.8 Nigerian Code of Corporate Governance 2018</w:t>
      </w:r>
    </w:p>
    <w:p w14:paraId="762A8644"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Nigerian Code of Corporate Governance 2018, issued by the Financial Reporting Council of Nigeria, is the most comprehensive and authoritative statement of governance standards applicable to Nigerian companies and represents the center piece of Nigeria’s formal corporate governance regulatory framework.</w:t>
      </w:r>
      <w:r w:rsidRPr="00353F2F">
        <w:rPr>
          <w:rStyle w:val="FootnoteReference"/>
          <w:rFonts w:ascii="Times New Roman" w:hAnsi="Times New Roman" w:cs="Times New Roman"/>
          <w:sz w:val="24"/>
          <w:szCs w:val="24"/>
        </w:rPr>
        <w:footnoteReference w:id="221"/>
      </w:r>
      <w:r w:rsidRPr="00353F2F">
        <w:rPr>
          <w:rFonts w:ascii="Times New Roman" w:hAnsi="Times New Roman" w:cs="Times New Roman"/>
          <w:sz w:val="24"/>
          <w:szCs w:val="24"/>
        </w:rPr>
        <w:t xml:space="preserve"> The Code adopts a principles-based approach, establishing twenty-eight governance principles covering board leadership and effectiveness, the roles and responsibilities of the board and management, board composition and independence, board committees, remuneration governance, risk management and internal control, financial reporting and external audit, stakeholder engagement, and business conduct and ethics. This comprehensive scope makes the NCCG 2018 the primary reference point for evaluating the governance quality of Nigerian project companies, as it establishes the benchmark against which governance arrangements in project finance transactions are assessed by domestic and international stakeholders.</w:t>
      </w:r>
    </w:p>
    <w:p w14:paraId="586DC56E"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Principle 3 of the NCCG 2018 establishes the board’s fundamental responsibility for providing entrepreneurial leadership, setting strategic direction, and ensuring the implementation of robust </w:t>
      </w:r>
      <w:r w:rsidRPr="00353F2F">
        <w:rPr>
          <w:rFonts w:ascii="Times New Roman" w:hAnsi="Times New Roman" w:cs="Times New Roman"/>
          <w:sz w:val="24"/>
          <w:szCs w:val="24"/>
        </w:rPr>
        <w:lastRenderedPageBreak/>
        <w:t>risk management and internal control systems.</w:t>
      </w:r>
      <w:r w:rsidRPr="00353F2F">
        <w:rPr>
          <w:rStyle w:val="FootnoteReference"/>
          <w:rFonts w:ascii="Times New Roman" w:hAnsi="Times New Roman" w:cs="Times New Roman"/>
          <w:sz w:val="24"/>
          <w:szCs w:val="24"/>
        </w:rPr>
        <w:footnoteReference w:id="222"/>
      </w:r>
      <w:r w:rsidRPr="00353F2F">
        <w:rPr>
          <w:rFonts w:ascii="Times New Roman" w:hAnsi="Times New Roman" w:cs="Times New Roman"/>
          <w:sz w:val="24"/>
          <w:szCs w:val="24"/>
        </w:rPr>
        <w:t xml:space="preserve"> For project companies, this principle translates into a board-level responsibility for the overall governance of the project development and operational strategy, including the oversight of key project risks and the monitoring of compliance with regulatory and contractual obligations. Principle 14 of the Code addresses the board’s risk management responsibilities in particular detail, requiring the board to establish a board-level risk committee with specific responsibility for overseeing the company’s risk management framework and reviewing the company’s risk appetite.</w:t>
      </w:r>
      <w:r w:rsidRPr="00353F2F">
        <w:rPr>
          <w:rStyle w:val="FootnoteReference"/>
          <w:rFonts w:ascii="Times New Roman" w:hAnsi="Times New Roman" w:cs="Times New Roman"/>
          <w:sz w:val="24"/>
          <w:szCs w:val="24"/>
        </w:rPr>
        <w:footnoteReference w:id="223"/>
      </w:r>
      <w:r w:rsidRPr="00353F2F">
        <w:rPr>
          <w:rFonts w:ascii="Times New Roman" w:hAnsi="Times New Roman" w:cs="Times New Roman"/>
          <w:sz w:val="24"/>
          <w:szCs w:val="24"/>
        </w:rPr>
        <w:t xml:space="preserve"> This requirement is directly aligned with the governance expectations of project finance lenders, who typically require the establishment of board-level risk oversight as a condition of financing.</w:t>
      </w:r>
    </w:p>
    <w:p w14:paraId="063BE801"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Principle 26 of the NCCG 2018, which addresses stakeholder engagement and corporate citizenship, requires companies to identify their material stakeholders, develop and implement a stakeholder engagement policy, and report annually on their stakeholder engagement activities.</w:t>
      </w:r>
      <w:r w:rsidRPr="00353F2F">
        <w:rPr>
          <w:rStyle w:val="FootnoteReference"/>
          <w:rFonts w:ascii="Times New Roman" w:hAnsi="Times New Roman" w:cs="Times New Roman"/>
          <w:sz w:val="24"/>
          <w:szCs w:val="24"/>
        </w:rPr>
        <w:footnoteReference w:id="224"/>
      </w:r>
      <w:r w:rsidRPr="00353F2F">
        <w:rPr>
          <w:rFonts w:ascii="Times New Roman" w:hAnsi="Times New Roman" w:cs="Times New Roman"/>
          <w:sz w:val="24"/>
          <w:szCs w:val="24"/>
        </w:rPr>
        <w:t xml:space="preserve"> This principle has particular significance for Nigerian project companies operating in communities affected by major infrastructure development, where inadequate stakeholder engagement has historically been a primary source of project disruption, community opposition, and lender disengagement. The Code’s transparency and disclosure requirements, set out in Principle 17, mandate the timely and accurate disclosure of all material information that might affect investment decisions, including information on project risks, regulatory compliance, and related-party transactions.</w:t>
      </w:r>
      <w:r w:rsidRPr="00353F2F">
        <w:rPr>
          <w:rStyle w:val="FootnoteReference"/>
          <w:rFonts w:ascii="Times New Roman" w:hAnsi="Times New Roman" w:cs="Times New Roman"/>
          <w:sz w:val="24"/>
          <w:szCs w:val="24"/>
        </w:rPr>
        <w:footnoteReference w:id="225"/>
      </w:r>
      <w:r w:rsidRPr="00353F2F">
        <w:rPr>
          <w:rFonts w:ascii="Times New Roman" w:hAnsi="Times New Roman" w:cs="Times New Roman"/>
          <w:sz w:val="24"/>
          <w:szCs w:val="24"/>
        </w:rPr>
        <w:t xml:space="preserve"> The OECD Principles of Corporate Governance, from which the NCCG 2018 draws substantially, similarly emphasize disclosure and transparency as foundational governance </w:t>
      </w:r>
      <w:r w:rsidRPr="00353F2F">
        <w:rPr>
          <w:rFonts w:ascii="Times New Roman" w:hAnsi="Times New Roman" w:cs="Times New Roman"/>
          <w:sz w:val="24"/>
          <w:szCs w:val="24"/>
        </w:rPr>
        <w:lastRenderedPageBreak/>
        <w:t>obligations, noting that transparent and reliable corporate information reduces information asymmetries between companies and their investors, thereby lowering the cost of capital.</w:t>
      </w:r>
      <w:r w:rsidRPr="00353F2F">
        <w:rPr>
          <w:rStyle w:val="FootnoteReference"/>
          <w:rFonts w:ascii="Times New Roman" w:hAnsi="Times New Roman" w:cs="Times New Roman"/>
          <w:sz w:val="24"/>
          <w:szCs w:val="24"/>
        </w:rPr>
        <w:footnoteReference w:id="226"/>
      </w:r>
      <w:r w:rsidRPr="00353F2F">
        <w:rPr>
          <w:rFonts w:ascii="Times New Roman" w:hAnsi="Times New Roman" w:cs="Times New Roman"/>
          <w:sz w:val="24"/>
          <w:szCs w:val="24"/>
        </w:rPr>
        <w:t xml:space="preserve"> </w:t>
      </w:r>
    </w:p>
    <w:p w14:paraId="43401613"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3.1.9 CBN Code of Corporate Governance for Banks and Discount Houses</w:t>
      </w:r>
    </w:p>
    <w:p w14:paraId="0C9BBB16"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Central Bank of Nigeria’s Code of Corporate Governance for Banks and Discount Houses, first issued in 2006 and revised in 2014, establishes sector-specific governance requirements for Nigerian banks and discount houses that supplement the general governance framework of the NCCG 2018 and are specifically calibrated to the governance risks and challenges of financial institution management.</w:t>
      </w:r>
      <w:r w:rsidRPr="00353F2F">
        <w:rPr>
          <w:rStyle w:val="FootnoteReference"/>
          <w:rFonts w:ascii="Times New Roman" w:hAnsi="Times New Roman" w:cs="Times New Roman"/>
          <w:sz w:val="24"/>
          <w:szCs w:val="24"/>
        </w:rPr>
        <w:footnoteReference w:id="227"/>
      </w:r>
      <w:r w:rsidRPr="00353F2F">
        <w:rPr>
          <w:rFonts w:ascii="Times New Roman" w:hAnsi="Times New Roman" w:cs="Times New Roman"/>
          <w:sz w:val="24"/>
          <w:szCs w:val="24"/>
        </w:rPr>
        <w:t xml:space="preserve"> The Code’s requirements are of direct significance for Nigerian project finance because the financial institutions subject to it serve as the primary lenders, arrangers, and financial advisers in domestic project finance transactions, and their governance quality directly affects the </w:t>
      </w:r>
      <w:proofErr w:type="spellStart"/>
      <w:r w:rsidRPr="00353F2F">
        <w:rPr>
          <w:rFonts w:ascii="Times New Roman" w:hAnsi="Times New Roman" w:cs="Times New Roman"/>
          <w:sz w:val="24"/>
          <w:szCs w:val="24"/>
        </w:rPr>
        <w:t>rigour</w:t>
      </w:r>
      <w:proofErr w:type="spellEnd"/>
      <w:r w:rsidRPr="00353F2F">
        <w:rPr>
          <w:rFonts w:ascii="Times New Roman" w:hAnsi="Times New Roman" w:cs="Times New Roman"/>
          <w:sz w:val="24"/>
          <w:szCs w:val="24"/>
        </w:rPr>
        <w:t xml:space="preserve"> and quality of the governance oversight they exercise over their project finance borrowers.</w:t>
      </w:r>
    </w:p>
    <w:p w14:paraId="4D64E8D9"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CBN Code establishes minimum requirements for board composition and independence in licensed banks, including a minimum ratio of non-executive to executive directors, a requirement that the board chairman be a non-executive director who is independent from management, and a prohibition on the combination of the roles of board chairman and chief executive officer.</w:t>
      </w:r>
      <w:r w:rsidRPr="00353F2F">
        <w:rPr>
          <w:rStyle w:val="FootnoteReference"/>
          <w:rFonts w:ascii="Times New Roman" w:hAnsi="Times New Roman" w:cs="Times New Roman"/>
          <w:sz w:val="24"/>
          <w:szCs w:val="24"/>
        </w:rPr>
        <w:footnoteReference w:id="228"/>
      </w:r>
      <w:r w:rsidRPr="00353F2F">
        <w:rPr>
          <w:rFonts w:ascii="Times New Roman" w:hAnsi="Times New Roman" w:cs="Times New Roman"/>
          <w:sz w:val="24"/>
          <w:szCs w:val="24"/>
        </w:rPr>
        <w:t xml:space="preserve"> These requirements reflect the agency-theoretic insight that independent board oversight is the most effective mechanism for constraining managerial self-dealing in financial institutions, an insight </w:t>
      </w:r>
      <w:r w:rsidRPr="00353F2F">
        <w:rPr>
          <w:rFonts w:ascii="Times New Roman" w:hAnsi="Times New Roman" w:cs="Times New Roman"/>
          <w:sz w:val="24"/>
          <w:szCs w:val="24"/>
        </w:rPr>
        <w:lastRenderedPageBreak/>
        <w:t>whose application to the project company context, where lenders seek similar independence protections in the governance of their project borrowers, is direct and important.</w:t>
      </w:r>
    </w:p>
    <w:p w14:paraId="3345ACF7"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Code’s requirements for board-level audit, risk management, and governance/remuneration committees mandate that these critical oversight functions be performed by committees composed primarily of non-executive directors with appropriate qualifications and experience, thereby institutionalizing the separation of management and monitoring functions that is essential for effective governance.</w:t>
      </w:r>
      <w:r w:rsidRPr="00353F2F">
        <w:rPr>
          <w:rStyle w:val="FootnoteReference"/>
          <w:rFonts w:ascii="Times New Roman" w:hAnsi="Times New Roman" w:cs="Times New Roman"/>
          <w:sz w:val="24"/>
          <w:szCs w:val="24"/>
        </w:rPr>
        <w:footnoteReference w:id="229"/>
      </w:r>
      <w:r w:rsidRPr="00353F2F">
        <w:rPr>
          <w:rFonts w:ascii="Times New Roman" w:hAnsi="Times New Roman" w:cs="Times New Roman"/>
          <w:sz w:val="24"/>
          <w:szCs w:val="24"/>
        </w:rPr>
        <w:t xml:space="preserve"> The CBN Code also establishes minimum qualifications and experience requirements for bank directors and senior management, including requirements for prior banking experience, professional qualifications, and the absence of criminal convictions or regulatory sanctions — requirements that ensure a minimum level of professional competence among those responsible for the governance of Nigerian financial institutions.</w:t>
      </w:r>
      <w:r w:rsidRPr="00353F2F">
        <w:rPr>
          <w:rStyle w:val="FootnoteReference"/>
          <w:rFonts w:ascii="Times New Roman" w:hAnsi="Times New Roman" w:cs="Times New Roman"/>
          <w:sz w:val="24"/>
          <w:szCs w:val="24"/>
        </w:rPr>
        <w:footnoteReference w:id="230"/>
      </w:r>
      <w:r w:rsidRPr="00353F2F">
        <w:rPr>
          <w:rFonts w:ascii="Times New Roman" w:hAnsi="Times New Roman" w:cs="Times New Roman"/>
          <w:sz w:val="24"/>
          <w:szCs w:val="24"/>
        </w:rPr>
        <w:t xml:space="preserve"> The Code’s whistleblower protection provisions, which require banks to establish mechanisms through which employees can report governance violations without fear of retaliation, create an important internal governance enforcement mechanism that complements external regulatory oversight.</w:t>
      </w:r>
      <w:r w:rsidRPr="00353F2F">
        <w:rPr>
          <w:rStyle w:val="FootnoteReference"/>
          <w:rFonts w:ascii="Times New Roman" w:hAnsi="Times New Roman" w:cs="Times New Roman"/>
          <w:sz w:val="24"/>
          <w:szCs w:val="24"/>
        </w:rPr>
        <w:footnoteReference w:id="231"/>
      </w:r>
      <w:r w:rsidRPr="00353F2F">
        <w:rPr>
          <w:rFonts w:ascii="Times New Roman" w:hAnsi="Times New Roman" w:cs="Times New Roman"/>
          <w:sz w:val="24"/>
          <w:szCs w:val="24"/>
        </w:rPr>
        <w:t xml:space="preserve"> The Basel Committee on Banking Supervision’s governance framework, from which the CBN Code draws substantially, identifies board-level risk oversight and the quality of internal governance culture as the most critical determinants of financial institution resilience, a finding that has shaped the CBN’s approach to bank governance regulation.</w:t>
      </w:r>
      <w:r w:rsidRPr="00353F2F">
        <w:rPr>
          <w:rStyle w:val="FootnoteReference"/>
          <w:rFonts w:ascii="Times New Roman" w:hAnsi="Times New Roman" w:cs="Times New Roman"/>
          <w:sz w:val="24"/>
          <w:szCs w:val="24"/>
        </w:rPr>
        <w:footnoteReference w:id="232"/>
      </w:r>
      <w:r w:rsidRPr="00353F2F">
        <w:rPr>
          <w:rFonts w:ascii="Times New Roman" w:hAnsi="Times New Roman" w:cs="Times New Roman"/>
          <w:sz w:val="24"/>
          <w:szCs w:val="24"/>
        </w:rPr>
        <w:t xml:space="preserve"> </w:t>
      </w:r>
    </w:p>
    <w:p w14:paraId="13095B4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3.1.10 SEC Code of Corporate Governance for Public Companies</w:t>
      </w:r>
    </w:p>
    <w:p w14:paraId="690024B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Securities and Exchange Commission’s Code of Corporate Governance for Public Companies, issued under the authority of the Investments and Securities Act 2007, establishes governance requirements specifically applicable to companies listed on the Nigerian Stock Exchange and other registered securities exchanges.</w:t>
      </w:r>
      <w:r w:rsidRPr="00353F2F">
        <w:rPr>
          <w:rStyle w:val="FootnoteReference"/>
          <w:rFonts w:ascii="Times New Roman" w:hAnsi="Times New Roman" w:cs="Times New Roman"/>
          <w:sz w:val="24"/>
          <w:szCs w:val="24"/>
        </w:rPr>
        <w:footnoteReference w:id="233"/>
      </w:r>
      <w:r w:rsidRPr="00353F2F">
        <w:rPr>
          <w:rFonts w:ascii="Times New Roman" w:hAnsi="Times New Roman" w:cs="Times New Roman"/>
          <w:sz w:val="24"/>
          <w:szCs w:val="24"/>
        </w:rPr>
        <w:t xml:space="preserve"> The Code applies primarily to the publicly listed entities most likely to serve as project sponsors in Nigerian project finance transactions, establishing governance standards for listed project sponsors whose compliance record forms part of the governance due diligence assessment conducted by project finance lenders in evaluating potential borrowers.</w:t>
      </w:r>
    </w:p>
    <w:p w14:paraId="458E2DFE"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SEC Code requires listed companies to establish board-level audit committees composed of a minimum specified number of non-executive directors and shareholders’ representatives, with clearly defined responsibilities for overseeing the financial reporting process, reviewing external audit reports, and monitoring compliance with applicable financial reporting standards.</w:t>
      </w:r>
      <w:r w:rsidRPr="00353F2F">
        <w:rPr>
          <w:rStyle w:val="FootnoteReference"/>
          <w:rFonts w:ascii="Times New Roman" w:hAnsi="Times New Roman" w:cs="Times New Roman"/>
          <w:sz w:val="24"/>
          <w:szCs w:val="24"/>
        </w:rPr>
        <w:footnoteReference w:id="234"/>
      </w:r>
      <w:r w:rsidRPr="00353F2F">
        <w:rPr>
          <w:rFonts w:ascii="Times New Roman" w:hAnsi="Times New Roman" w:cs="Times New Roman"/>
          <w:sz w:val="24"/>
          <w:szCs w:val="24"/>
        </w:rPr>
        <w:t xml:space="preserve"> The Code’s related-party transaction requirements, which mandate independent board approval and disclosure of transactions between the listed company and its controlling shareholders, directors, or their associates, are particularly relevant in project finance contexts where transactions between the project company and its sponsors,, including management fees, procurement contracts, and financing arrangements, create significant conflicts of interest that must be managed transparently.</w:t>
      </w:r>
      <w:r w:rsidRPr="00353F2F">
        <w:rPr>
          <w:rStyle w:val="FootnoteReference"/>
          <w:rFonts w:ascii="Times New Roman" w:hAnsi="Times New Roman" w:cs="Times New Roman"/>
          <w:sz w:val="24"/>
          <w:szCs w:val="24"/>
        </w:rPr>
        <w:footnoteReference w:id="235"/>
      </w:r>
      <w:r w:rsidRPr="00353F2F">
        <w:rPr>
          <w:rFonts w:ascii="Times New Roman" w:hAnsi="Times New Roman" w:cs="Times New Roman"/>
          <w:sz w:val="24"/>
          <w:szCs w:val="24"/>
        </w:rPr>
        <w:t xml:space="preserve"> The Code also establishes minimum disclosure requirements for material information that could affect the share price of listed companies, including information about major project finance transactions, significant contingent liabilities, and material regulatory </w:t>
      </w:r>
      <w:r w:rsidRPr="00353F2F">
        <w:rPr>
          <w:rFonts w:ascii="Times New Roman" w:hAnsi="Times New Roman" w:cs="Times New Roman"/>
          <w:sz w:val="24"/>
          <w:szCs w:val="24"/>
        </w:rPr>
        <w:lastRenderedPageBreak/>
        <w:t>breaches.</w:t>
      </w:r>
      <w:r w:rsidRPr="00353F2F">
        <w:rPr>
          <w:rStyle w:val="FootnoteReference"/>
          <w:rFonts w:ascii="Times New Roman" w:hAnsi="Times New Roman" w:cs="Times New Roman"/>
          <w:sz w:val="24"/>
          <w:szCs w:val="24"/>
        </w:rPr>
        <w:footnoteReference w:id="236"/>
      </w:r>
      <w:r w:rsidRPr="00353F2F">
        <w:rPr>
          <w:rFonts w:ascii="Times New Roman" w:hAnsi="Times New Roman" w:cs="Times New Roman"/>
          <w:sz w:val="24"/>
          <w:szCs w:val="24"/>
        </w:rPr>
        <w:t xml:space="preserve"> The Investments and Securities Act 2007 provides the statutory enforcement framework for the SEC Code, conferring on the SEC the authority to investigate alleged governance violations by listed companies and to impose sanctions including fines, suspension of trading, and deregistration.</w:t>
      </w:r>
      <w:r w:rsidRPr="00353F2F">
        <w:rPr>
          <w:rStyle w:val="FootnoteReference"/>
          <w:rFonts w:ascii="Times New Roman" w:hAnsi="Times New Roman" w:cs="Times New Roman"/>
          <w:sz w:val="24"/>
          <w:szCs w:val="24"/>
        </w:rPr>
        <w:footnoteReference w:id="237"/>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Ahunwan</w:t>
      </w:r>
      <w:proofErr w:type="spellEnd"/>
      <w:r w:rsidRPr="00353F2F">
        <w:rPr>
          <w:rFonts w:ascii="Times New Roman" w:hAnsi="Times New Roman" w:cs="Times New Roman"/>
          <w:sz w:val="24"/>
          <w:szCs w:val="24"/>
        </w:rPr>
        <w:t xml:space="preserve"> has observed that the combined effect of the NCCG 2018, the CBN Code, and the SEC Code is to establish a broadly comprehensive, if somewhat fragmented, governance framework that covers the principal categories of entities involved in Nigerian project finance transactions.</w:t>
      </w:r>
      <w:r w:rsidRPr="00353F2F">
        <w:rPr>
          <w:rStyle w:val="FootnoteReference"/>
          <w:rFonts w:ascii="Times New Roman" w:hAnsi="Times New Roman" w:cs="Times New Roman"/>
          <w:sz w:val="24"/>
          <w:szCs w:val="24"/>
        </w:rPr>
        <w:footnoteReference w:id="238"/>
      </w:r>
      <w:r w:rsidRPr="00353F2F">
        <w:rPr>
          <w:rFonts w:ascii="Times New Roman" w:hAnsi="Times New Roman" w:cs="Times New Roman"/>
          <w:sz w:val="24"/>
          <w:szCs w:val="24"/>
        </w:rPr>
        <w:t xml:space="preserve"> The World Bank ROSC Report for Nigeria notes that the enforcement of the SEC Code has historically been constrained by the SEC’s limited supervisory capacity and the relatively weak capital market penalties applicable to governance violations, a limitation that reduces the deterrent effect of the Code’s requirements.</w:t>
      </w:r>
      <w:r w:rsidRPr="00353F2F">
        <w:rPr>
          <w:rStyle w:val="FootnoteReference"/>
          <w:rFonts w:ascii="Times New Roman" w:hAnsi="Times New Roman" w:cs="Times New Roman"/>
          <w:sz w:val="24"/>
          <w:szCs w:val="24"/>
        </w:rPr>
        <w:footnoteReference w:id="239"/>
      </w:r>
    </w:p>
    <w:p w14:paraId="7A87401D" w14:textId="77777777" w:rsidR="00AB7F86" w:rsidRPr="00353F2F" w:rsidRDefault="00AB7F86" w:rsidP="00353F2F">
      <w:pPr>
        <w:pStyle w:val="Heading2"/>
        <w:spacing w:line="480" w:lineRule="auto"/>
        <w:rPr>
          <w:sz w:val="24"/>
          <w:szCs w:val="24"/>
        </w:rPr>
      </w:pPr>
      <w:r w:rsidRPr="00353F2F">
        <w:rPr>
          <w:sz w:val="24"/>
          <w:szCs w:val="24"/>
        </w:rPr>
        <w:t>3.1.11 Secured Transactions in Movable Assets Act 2017</w:t>
      </w:r>
    </w:p>
    <w:p w14:paraId="31B3866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Secured Transactions in Movable Assets Act 2017 (STMA 2017), also known as the Collateral Registry Act, represents a landmark reform of the legal framework for security interests in movable assets in Nigeria, with significant implications for the governance and bankability of project finance transactions that rely on movable assets as collateral for lender security.</w:t>
      </w:r>
      <w:r w:rsidRPr="00353F2F">
        <w:rPr>
          <w:rStyle w:val="FootnoteReference"/>
          <w:rFonts w:ascii="Times New Roman" w:hAnsi="Times New Roman" w:cs="Times New Roman"/>
          <w:sz w:val="24"/>
          <w:szCs w:val="24"/>
        </w:rPr>
        <w:footnoteReference w:id="240"/>
      </w:r>
      <w:r w:rsidRPr="00353F2F">
        <w:rPr>
          <w:rFonts w:ascii="Times New Roman" w:hAnsi="Times New Roman" w:cs="Times New Roman"/>
          <w:sz w:val="24"/>
          <w:szCs w:val="24"/>
        </w:rPr>
        <w:t xml:space="preserve"> Prior to the enactment of STMA 2017, the legal framework for security interests in movable assets in Nigeria was fragmented, costly, and uncertain, </w:t>
      </w:r>
      <w:proofErr w:type="spellStart"/>
      <w:r w:rsidRPr="00353F2F">
        <w:rPr>
          <w:rFonts w:ascii="Times New Roman" w:hAnsi="Times New Roman" w:cs="Times New Roman"/>
          <w:sz w:val="24"/>
          <w:szCs w:val="24"/>
        </w:rPr>
        <w:t>characterised</w:t>
      </w:r>
      <w:proofErr w:type="spellEnd"/>
      <w:r w:rsidRPr="00353F2F">
        <w:rPr>
          <w:rFonts w:ascii="Times New Roman" w:hAnsi="Times New Roman" w:cs="Times New Roman"/>
          <w:sz w:val="24"/>
          <w:szCs w:val="24"/>
        </w:rPr>
        <w:t xml:space="preserve"> by multiple competing regimes, unclear priority rules, and limited public registration infrastructure, that made it difficult for project finance </w:t>
      </w:r>
      <w:r w:rsidRPr="00353F2F">
        <w:rPr>
          <w:rFonts w:ascii="Times New Roman" w:hAnsi="Times New Roman" w:cs="Times New Roman"/>
          <w:sz w:val="24"/>
          <w:szCs w:val="24"/>
        </w:rPr>
        <w:lastRenderedPageBreak/>
        <w:t>lenders to take effective security over movable project assets including equipment, receivables, bank accounts, and contractual rights.</w:t>
      </w:r>
    </w:p>
    <w:p w14:paraId="4F371C2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STMA 2017 establishes a modern, unified framework for the creation, perfection, priority, and enforcement of security interests in movable assets, modelled on Article 9 of the Uniform Commercial Code of the United States and the UNCITRAL Legislative Guide on Secured Transactions.</w:t>
      </w:r>
      <w:r w:rsidRPr="00353F2F">
        <w:rPr>
          <w:rStyle w:val="FootnoteReference"/>
          <w:rFonts w:ascii="Times New Roman" w:hAnsi="Times New Roman" w:cs="Times New Roman"/>
          <w:sz w:val="24"/>
          <w:szCs w:val="24"/>
        </w:rPr>
        <w:footnoteReference w:id="241"/>
      </w:r>
      <w:r w:rsidRPr="00353F2F">
        <w:rPr>
          <w:rFonts w:ascii="Times New Roman" w:hAnsi="Times New Roman" w:cs="Times New Roman"/>
          <w:sz w:val="24"/>
          <w:szCs w:val="24"/>
        </w:rPr>
        <w:t xml:space="preserve"> The Act establishes the National Collateral Registry as a publicly accessible database for the registration of security interests in movable assets, providing a transparent and searchable record of existing security interests that allows project finance lenders to conduct effective due diligence on the encumbrances affecting proposed collateral assets.</w:t>
      </w:r>
      <w:r w:rsidRPr="00353F2F">
        <w:rPr>
          <w:rStyle w:val="FootnoteReference"/>
          <w:rFonts w:ascii="Times New Roman" w:hAnsi="Times New Roman" w:cs="Times New Roman"/>
          <w:sz w:val="24"/>
          <w:szCs w:val="24"/>
        </w:rPr>
        <w:footnoteReference w:id="242"/>
      </w:r>
      <w:r w:rsidRPr="00353F2F">
        <w:rPr>
          <w:rFonts w:ascii="Times New Roman" w:hAnsi="Times New Roman" w:cs="Times New Roman"/>
          <w:sz w:val="24"/>
          <w:szCs w:val="24"/>
        </w:rPr>
        <w:t xml:space="preserve"> The Act’s priority rules, which generally give priority to the first security interest to be registered in the National Collateral Registry, provide the legal certainty about the relative priority of competing security interests that project finance lenders require in order to assess the adequacy of their security package.</w:t>
      </w:r>
      <w:r w:rsidRPr="00353F2F">
        <w:rPr>
          <w:rStyle w:val="FootnoteReference"/>
          <w:rFonts w:ascii="Times New Roman" w:hAnsi="Times New Roman" w:cs="Times New Roman"/>
          <w:sz w:val="24"/>
          <w:szCs w:val="24"/>
        </w:rPr>
        <w:footnoteReference w:id="243"/>
      </w:r>
      <w:r w:rsidRPr="00353F2F">
        <w:rPr>
          <w:rFonts w:ascii="Times New Roman" w:hAnsi="Times New Roman" w:cs="Times New Roman"/>
          <w:sz w:val="24"/>
          <w:szCs w:val="24"/>
        </w:rPr>
        <w:t xml:space="preserve"> The Act also establishes clear enforcement rights for secured creditors, including the right to take possession of and sell collateral assets without court order in the event of borrower default, subject to the observance of commercially reasonable enforcement procedures.</w:t>
      </w:r>
      <w:r w:rsidRPr="00353F2F">
        <w:rPr>
          <w:rStyle w:val="FootnoteReference"/>
          <w:rFonts w:ascii="Times New Roman" w:hAnsi="Times New Roman" w:cs="Times New Roman"/>
          <w:sz w:val="24"/>
          <w:szCs w:val="24"/>
        </w:rPr>
        <w:footnoteReference w:id="244"/>
      </w:r>
      <w:r w:rsidRPr="00353F2F">
        <w:rPr>
          <w:rFonts w:ascii="Times New Roman" w:hAnsi="Times New Roman" w:cs="Times New Roman"/>
          <w:sz w:val="24"/>
          <w:szCs w:val="24"/>
        </w:rPr>
        <w:t xml:space="preserve"> It was observed that the quality of the security framework is a fundamental determinant of the bankability of project finance transactions, since lenders who cannot confidently assess the priority and enforceability of their security interests will demand higher risk premiums or refuse to lend.</w:t>
      </w:r>
      <w:r w:rsidRPr="00353F2F">
        <w:rPr>
          <w:rStyle w:val="FootnoteReference"/>
          <w:rFonts w:ascii="Times New Roman" w:hAnsi="Times New Roman" w:cs="Times New Roman"/>
          <w:sz w:val="24"/>
          <w:szCs w:val="24"/>
        </w:rPr>
        <w:footnoteReference w:id="245"/>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Akinrele</w:t>
      </w:r>
      <w:proofErr w:type="spellEnd"/>
      <w:r w:rsidRPr="00353F2F">
        <w:rPr>
          <w:rFonts w:ascii="Times New Roman" w:hAnsi="Times New Roman" w:cs="Times New Roman"/>
          <w:sz w:val="24"/>
          <w:szCs w:val="24"/>
        </w:rPr>
        <w:t xml:space="preserve"> has specifically argued that the enactment of STMA 2017 </w:t>
      </w:r>
      <w:r w:rsidRPr="00353F2F">
        <w:rPr>
          <w:rFonts w:ascii="Times New Roman" w:hAnsi="Times New Roman" w:cs="Times New Roman"/>
          <w:sz w:val="24"/>
          <w:szCs w:val="24"/>
        </w:rPr>
        <w:lastRenderedPageBreak/>
        <w:t>represents one of the most significant governance and legal framework improvements for Nigerian project finance in recent years, noting that its clearer and more efficient framework for security interests over movable assets has reduced a significant source of legal risk that previously constrained lender appetite for Nigerian project finance transactions.</w:t>
      </w:r>
      <w:r w:rsidRPr="00353F2F">
        <w:rPr>
          <w:rStyle w:val="FootnoteReference"/>
          <w:rFonts w:ascii="Times New Roman" w:hAnsi="Times New Roman" w:cs="Times New Roman"/>
          <w:sz w:val="24"/>
          <w:szCs w:val="24"/>
        </w:rPr>
        <w:footnoteReference w:id="246"/>
      </w:r>
    </w:p>
    <w:p w14:paraId="10406ACD" w14:textId="77777777" w:rsidR="00AB7F86" w:rsidRPr="00353F2F" w:rsidRDefault="00AB7F86" w:rsidP="00353F2F">
      <w:pPr>
        <w:spacing w:before="180" w:after="18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3.1.12 Arbitration and Mediation Act 2023</w:t>
      </w:r>
    </w:p>
    <w:p w14:paraId="124DF166"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Arbitration and Mediation Act 2023, which repealed and replaced the Arbitration and Conciliation Act 1988, represents the most recent significant legislative reform to the Nigerian governance and dispute resolution framework relevant to project finance.</w:t>
      </w:r>
      <w:r w:rsidRPr="00353F2F">
        <w:rPr>
          <w:rStyle w:val="FootnoteReference"/>
          <w:rFonts w:ascii="Times New Roman" w:hAnsi="Times New Roman" w:cs="Times New Roman"/>
          <w:sz w:val="24"/>
          <w:szCs w:val="24"/>
        </w:rPr>
        <w:footnoteReference w:id="247"/>
      </w:r>
      <w:r w:rsidRPr="00353F2F">
        <w:rPr>
          <w:rFonts w:ascii="Times New Roman" w:hAnsi="Times New Roman" w:cs="Times New Roman"/>
          <w:sz w:val="24"/>
          <w:szCs w:val="24"/>
        </w:rPr>
        <w:t xml:space="preserve"> The new Act, enacted following years of advocacy by legal practitioners and project finance market participants, </w:t>
      </w:r>
      <w:proofErr w:type="spellStart"/>
      <w:r w:rsidRPr="00353F2F">
        <w:rPr>
          <w:rFonts w:ascii="Times New Roman" w:hAnsi="Times New Roman" w:cs="Times New Roman"/>
          <w:sz w:val="24"/>
          <w:szCs w:val="24"/>
        </w:rPr>
        <w:t>modernises</w:t>
      </w:r>
      <w:proofErr w:type="spellEnd"/>
      <w:r w:rsidRPr="00353F2F">
        <w:rPr>
          <w:rFonts w:ascii="Times New Roman" w:hAnsi="Times New Roman" w:cs="Times New Roman"/>
          <w:sz w:val="24"/>
          <w:szCs w:val="24"/>
        </w:rPr>
        <w:t xml:space="preserve"> the Nigerian arbitration framework in line with international best practice, adopting provisions closely modelled on the 2006 amendments to the UNCITRAL Model Law on International Commercial Arbitration and incorporating additional provisions on emergency arbitration, the enforcement of interim measures, and the conduct of mediation proceedings.</w:t>
      </w:r>
    </w:p>
    <w:p w14:paraId="53328F0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Act’s recognition of emergency arbitrator powers, allowing parties to obtain urgent interim relief from an emergency arbitrator appointed on an expedited basis before a full arbitral tribunal is constituted, is of particular significance for project finance transactions, where the speed of dispute resolution can be critical to project viability.</w:t>
      </w:r>
      <w:r w:rsidRPr="00353F2F">
        <w:rPr>
          <w:rStyle w:val="FootnoteReference"/>
          <w:rFonts w:ascii="Times New Roman" w:hAnsi="Times New Roman" w:cs="Times New Roman"/>
          <w:sz w:val="24"/>
          <w:szCs w:val="24"/>
        </w:rPr>
        <w:footnoteReference w:id="248"/>
      </w:r>
      <w:r w:rsidRPr="00353F2F">
        <w:rPr>
          <w:rFonts w:ascii="Times New Roman" w:hAnsi="Times New Roman" w:cs="Times New Roman"/>
          <w:sz w:val="24"/>
          <w:szCs w:val="24"/>
        </w:rPr>
        <w:t xml:space="preserve"> Project finance lenders who identify a governance breach or credit event of default need the ability to obtain rapid interim relief, including injunctions against asset disposal, appointment of receivers, and enforcement of direct agreements, in order to protect their security and preserve project value pending the resolution of the underlying </w:t>
      </w:r>
      <w:r w:rsidRPr="00353F2F">
        <w:rPr>
          <w:rFonts w:ascii="Times New Roman" w:hAnsi="Times New Roman" w:cs="Times New Roman"/>
          <w:sz w:val="24"/>
          <w:szCs w:val="24"/>
        </w:rPr>
        <w:lastRenderedPageBreak/>
        <w:t>dispute.</w:t>
      </w:r>
      <w:r w:rsidRPr="00353F2F">
        <w:rPr>
          <w:rStyle w:val="FootnoteReference"/>
          <w:rFonts w:ascii="Times New Roman" w:hAnsi="Times New Roman" w:cs="Times New Roman"/>
          <w:sz w:val="24"/>
          <w:szCs w:val="24"/>
        </w:rPr>
        <w:footnoteReference w:id="249"/>
      </w:r>
      <w:r w:rsidRPr="00353F2F">
        <w:rPr>
          <w:rFonts w:ascii="Times New Roman" w:hAnsi="Times New Roman" w:cs="Times New Roman"/>
          <w:sz w:val="24"/>
          <w:szCs w:val="24"/>
        </w:rPr>
        <w:t xml:space="preserve"> The Act’s reformed provisions on the enforcement of arbitral awards, which align Nigerian law more closely with the New York Convention on the Recognition and Enforcement of Foreign Arbitral Awards (to which Nigeria is a party), strengthen the enforceability of arbitral awards against Nigerian project parties, including state-owned project counterparties, and reduce the risk that project finance lenders will be unable to enforce </w:t>
      </w:r>
      <w:proofErr w:type="spellStart"/>
      <w:r w:rsidRPr="00353F2F">
        <w:rPr>
          <w:rFonts w:ascii="Times New Roman" w:hAnsi="Times New Roman" w:cs="Times New Roman"/>
          <w:sz w:val="24"/>
          <w:szCs w:val="24"/>
        </w:rPr>
        <w:t>favourable</w:t>
      </w:r>
      <w:proofErr w:type="spellEnd"/>
      <w:r w:rsidRPr="00353F2F">
        <w:rPr>
          <w:rFonts w:ascii="Times New Roman" w:hAnsi="Times New Roman" w:cs="Times New Roman"/>
          <w:sz w:val="24"/>
          <w:szCs w:val="24"/>
        </w:rPr>
        <w:t xml:space="preserve"> arbitral awards against recalcitrant parties.</w:t>
      </w:r>
      <w:r w:rsidRPr="00353F2F">
        <w:rPr>
          <w:rStyle w:val="FootnoteReference"/>
          <w:rFonts w:ascii="Times New Roman" w:hAnsi="Times New Roman" w:cs="Times New Roman"/>
          <w:sz w:val="24"/>
          <w:szCs w:val="24"/>
        </w:rPr>
        <w:footnoteReference w:id="250"/>
      </w:r>
      <w:r w:rsidRPr="00353F2F">
        <w:rPr>
          <w:rFonts w:ascii="Times New Roman" w:hAnsi="Times New Roman" w:cs="Times New Roman"/>
          <w:sz w:val="24"/>
          <w:szCs w:val="24"/>
        </w:rPr>
        <w:t xml:space="preserve"> The Act’s mediation provisions, establishing a framework for the conduct of structured mediation proceedings, provide an additional dispute resolution mechanism that may be particularly useful for managing governance disputes between project participants without the reputational and relationship costs of adversarial arbitration.</w:t>
      </w:r>
      <w:r w:rsidRPr="00353F2F">
        <w:rPr>
          <w:rStyle w:val="FootnoteReference"/>
          <w:rFonts w:ascii="Times New Roman" w:hAnsi="Times New Roman" w:cs="Times New Roman"/>
          <w:sz w:val="24"/>
          <w:szCs w:val="24"/>
        </w:rPr>
        <w:footnoteReference w:id="251"/>
      </w:r>
      <w:r w:rsidRPr="00353F2F">
        <w:rPr>
          <w:rFonts w:ascii="Times New Roman" w:hAnsi="Times New Roman" w:cs="Times New Roman"/>
          <w:sz w:val="24"/>
          <w:szCs w:val="24"/>
        </w:rPr>
        <w:t xml:space="preserve"> The Act’s adoption of the UNCITRAL Model Law framework is also significant for the attractiveness of Nigeria as a seat of arbitration for international project finance disputes.</w:t>
      </w:r>
      <w:r w:rsidRPr="00353F2F">
        <w:rPr>
          <w:rStyle w:val="FootnoteReference"/>
          <w:rFonts w:ascii="Times New Roman" w:hAnsi="Times New Roman" w:cs="Times New Roman"/>
          <w:sz w:val="24"/>
          <w:szCs w:val="24"/>
        </w:rPr>
        <w:footnoteReference w:id="252"/>
      </w:r>
      <w:r w:rsidRPr="00353F2F">
        <w:rPr>
          <w:rFonts w:ascii="Times New Roman" w:hAnsi="Times New Roman" w:cs="Times New Roman"/>
          <w:sz w:val="24"/>
          <w:szCs w:val="24"/>
        </w:rPr>
        <w:t xml:space="preserve"> </w:t>
      </w:r>
    </w:p>
    <w:p w14:paraId="55A4CEA3"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 xml:space="preserve">3.2 Institutional Framework </w:t>
      </w:r>
      <w:proofErr w:type="gramStart"/>
      <w:r w:rsidRPr="00353F2F">
        <w:rPr>
          <w:rFonts w:ascii="Times New Roman" w:hAnsi="Times New Roman" w:cs="Times New Roman"/>
          <w:b/>
          <w:bCs/>
          <w:sz w:val="24"/>
          <w:szCs w:val="24"/>
        </w:rPr>
        <w:t>For</w:t>
      </w:r>
      <w:proofErr w:type="gramEnd"/>
      <w:r w:rsidRPr="00353F2F">
        <w:rPr>
          <w:rFonts w:ascii="Times New Roman" w:hAnsi="Times New Roman" w:cs="Times New Roman"/>
          <w:b/>
          <w:bCs/>
          <w:sz w:val="24"/>
          <w:szCs w:val="24"/>
        </w:rPr>
        <w:t xml:space="preserve"> Corporate Governance In Nigeria</w:t>
      </w:r>
    </w:p>
    <w:p w14:paraId="2E9822AD" w14:textId="77777777" w:rsidR="00AB7F86" w:rsidRPr="00353F2F" w:rsidRDefault="00AB7F86" w:rsidP="00353F2F">
      <w:pPr>
        <w:pStyle w:val="Heading2"/>
        <w:spacing w:line="480" w:lineRule="auto"/>
        <w:rPr>
          <w:sz w:val="24"/>
          <w:szCs w:val="24"/>
        </w:rPr>
      </w:pPr>
      <w:r w:rsidRPr="00353F2F">
        <w:rPr>
          <w:sz w:val="24"/>
          <w:szCs w:val="24"/>
        </w:rPr>
        <w:t>3.2.1 Corporate Affairs Commission</w:t>
      </w:r>
    </w:p>
    <w:p w14:paraId="1D770A1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Corporate Affairs Commission (CAC), established by the Companies and Allied Matters Act as the body charged with administering company law in Nigeria, serves as the primary institutional gateway for the incorporation, registration, and ongoing regulatory oversight of Nigerian companies, including the special purpose vehicles that serve as project companies in Nigerian project finance transactions.</w:t>
      </w:r>
      <w:r w:rsidRPr="00353F2F">
        <w:rPr>
          <w:rStyle w:val="FootnoteReference"/>
          <w:rFonts w:ascii="Times New Roman" w:hAnsi="Times New Roman" w:cs="Times New Roman"/>
          <w:sz w:val="24"/>
          <w:szCs w:val="24"/>
        </w:rPr>
        <w:footnoteReference w:id="253"/>
      </w:r>
      <w:r w:rsidRPr="00353F2F">
        <w:rPr>
          <w:rFonts w:ascii="Times New Roman" w:hAnsi="Times New Roman" w:cs="Times New Roman"/>
          <w:sz w:val="24"/>
          <w:szCs w:val="24"/>
        </w:rPr>
        <w:t xml:space="preserve"> The CAC’s principal functions in the corporate governance context </w:t>
      </w:r>
      <w:r w:rsidRPr="00353F2F">
        <w:rPr>
          <w:rFonts w:ascii="Times New Roman" w:hAnsi="Times New Roman" w:cs="Times New Roman"/>
          <w:sz w:val="24"/>
          <w:szCs w:val="24"/>
        </w:rPr>
        <w:lastRenderedPageBreak/>
        <w:t>include the registration of new companies and the maintenance of the national companies register, the review of and filing of companies’ annual returns and accounts, the enforcement of statutory compliance obligations under CAMA 2020, and the investigation of reported governance violations.</w:t>
      </w:r>
    </w:p>
    <w:p w14:paraId="7AC9B8AA"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CAC’s registration function is the first institutional touchpoint in the governance lifecycle of a Nigerian project company. The registration of the SPV that will serve as the project company is a prerequisite for the conclusion of project contracts, the opening of project accounts, and the commencement of project finance documentation. The CAC’s requirements for the registration of new companies, including the submission of a memorandum and articles of association, particulars of directors and shareholders, and a registered office address, establish minimum governance disclosure standards at the inception of the project company’s existence.</w:t>
      </w:r>
      <w:r w:rsidRPr="00353F2F">
        <w:rPr>
          <w:rStyle w:val="FootnoteReference"/>
          <w:rFonts w:ascii="Times New Roman" w:hAnsi="Times New Roman" w:cs="Times New Roman"/>
          <w:sz w:val="24"/>
          <w:szCs w:val="24"/>
        </w:rPr>
        <w:footnoteReference w:id="254"/>
      </w:r>
      <w:r w:rsidRPr="00353F2F">
        <w:rPr>
          <w:rFonts w:ascii="Times New Roman" w:hAnsi="Times New Roman" w:cs="Times New Roman"/>
          <w:sz w:val="24"/>
          <w:szCs w:val="24"/>
        </w:rPr>
        <w:t xml:space="preserve"> The CAC’s maintenance of the companies register provides project finance lenders with access to fundamental governance information about potential borrowers, including share ownership structures, director appointments, registered charges, and filings of annual returns.</w:t>
      </w:r>
      <w:r w:rsidRPr="00353F2F">
        <w:rPr>
          <w:rStyle w:val="FootnoteReference"/>
          <w:rFonts w:ascii="Times New Roman" w:hAnsi="Times New Roman" w:cs="Times New Roman"/>
          <w:sz w:val="24"/>
          <w:szCs w:val="24"/>
        </w:rPr>
        <w:footnoteReference w:id="255"/>
      </w:r>
      <w:r w:rsidRPr="00353F2F">
        <w:rPr>
          <w:rFonts w:ascii="Times New Roman" w:hAnsi="Times New Roman" w:cs="Times New Roman"/>
          <w:sz w:val="24"/>
          <w:szCs w:val="24"/>
        </w:rPr>
        <w:t xml:space="preserve"> The introduction under CAMA 2020 of the requirement for companies to maintain and file a register of significant controllers, identifying the ultimate beneficial owners of company shares, strengthens the CAC’s role as a transparency and anti-money laundering governance institution.</w:t>
      </w:r>
      <w:r w:rsidRPr="00353F2F">
        <w:rPr>
          <w:rStyle w:val="FootnoteReference"/>
          <w:rFonts w:ascii="Times New Roman" w:hAnsi="Times New Roman" w:cs="Times New Roman"/>
          <w:sz w:val="24"/>
          <w:szCs w:val="24"/>
        </w:rPr>
        <w:footnoteReference w:id="256"/>
      </w:r>
      <w:r w:rsidRPr="00353F2F">
        <w:rPr>
          <w:rFonts w:ascii="Times New Roman" w:hAnsi="Times New Roman" w:cs="Times New Roman"/>
          <w:sz w:val="24"/>
          <w:szCs w:val="24"/>
        </w:rPr>
        <w:t xml:space="preserve"> </w:t>
      </w:r>
    </w:p>
    <w:p w14:paraId="27BE3C15"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3.2.2 Financial Reporting Council of Nigeria</w:t>
      </w:r>
    </w:p>
    <w:p w14:paraId="4813C1E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Financial Reporting Council of Nigeria, established by the Financial Reporting Council of Nigeria Act 2011, is the apex body responsible for developing, issuing, and enforcing financial </w:t>
      </w:r>
      <w:r w:rsidRPr="00353F2F">
        <w:rPr>
          <w:rFonts w:ascii="Times New Roman" w:hAnsi="Times New Roman" w:cs="Times New Roman"/>
          <w:sz w:val="24"/>
          <w:szCs w:val="24"/>
        </w:rPr>
        <w:lastRenderedPageBreak/>
        <w:t>reporting standards, auditing standards, and corporate governance codes in Nigeria.</w:t>
      </w:r>
      <w:r w:rsidRPr="00353F2F">
        <w:rPr>
          <w:rStyle w:val="FootnoteReference"/>
          <w:rFonts w:ascii="Times New Roman" w:hAnsi="Times New Roman" w:cs="Times New Roman"/>
          <w:sz w:val="24"/>
          <w:szCs w:val="24"/>
        </w:rPr>
        <w:footnoteReference w:id="257"/>
      </w:r>
      <w:r w:rsidRPr="00353F2F">
        <w:rPr>
          <w:rFonts w:ascii="Times New Roman" w:hAnsi="Times New Roman" w:cs="Times New Roman"/>
          <w:sz w:val="24"/>
          <w:szCs w:val="24"/>
        </w:rPr>
        <w:t xml:space="preserve"> The FRCN’s central governance role is the development and maintenance of the normative framework, the accounting standards, auditing standards, and governance codes, against which the governance quality of Nigerian companies, including project finance SPVs, is assessed by lenders, investors, and regulators. The Council issued the Nigerian Code of Corporate Governance 2018 and adopted IFRS as the applicable accounting standards for public interest entities in Nigeria, and International Standards on Auditing as the applicable framework for the conduct of audits of Nigerian companies.</w:t>
      </w:r>
    </w:p>
    <w:p w14:paraId="39019CD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FRCN’s supervisory and enforcement functions are of particular importance for the project finance governance context. The Council has the authority to investigate reported non-compliance with applicable governance codes and financial reporting standards, to require the restatement of financial statements that are materially misstated or non-compliant with applicable standards, and to impose sanctions, including fines, suspension of professional licenses, and debarment from serving as directors of public interest entities, on individuals and organizations that commit governance violations.</w:t>
      </w:r>
      <w:r w:rsidRPr="00353F2F">
        <w:rPr>
          <w:rStyle w:val="FootnoteReference"/>
          <w:rFonts w:ascii="Times New Roman" w:hAnsi="Times New Roman" w:cs="Times New Roman"/>
          <w:sz w:val="24"/>
          <w:szCs w:val="24"/>
        </w:rPr>
        <w:footnoteReference w:id="258"/>
      </w:r>
      <w:r w:rsidRPr="00353F2F">
        <w:rPr>
          <w:rFonts w:ascii="Times New Roman" w:hAnsi="Times New Roman" w:cs="Times New Roman"/>
          <w:sz w:val="24"/>
          <w:szCs w:val="24"/>
        </w:rPr>
        <w:t xml:space="preserve"> These enforcement powers, which go significantly beyond those previously available to the Nigerian Accounting Standards Board that the FRCN replaced, create a credible deterrent to governance violations that strengthens the effectiveness of the NCCG 2018 and associated financial reporting standards as governance instruments.</w:t>
      </w:r>
      <w:r w:rsidRPr="00353F2F">
        <w:rPr>
          <w:rStyle w:val="FootnoteReference"/>
          <w:rFonts w:ascii="Times New Roman" w:hAnsi="Times New Roman" w:cs="Times New Roman"/>
          <w:sz w:val="24"/>
          <w:szCs w:val="24"/>
        </w:rPr>
        <w:footnoteReference w:id="259"/>
      </w:r>
      <w:r w:rsidRPr="00353F2F">
        <w:rPr>
          <w:rFonts w:ascii="Times New Roman" w:hAnsi="Times New Roman" w:cs="Times New Roman"/>
          <w:sz w:val="24"/>
          <w:szCs w:val="24"/>
        </w:rPr>
        <w:t xml:space="preserve"> The FRCN’s requirement that all public interest entities undergo mandatory corporate governance ratings under the NCCG 2018 provides a systematic mechanism for identifying and addressing governance </w:t>
      </w:r>
      <w:r w:rsidRPr="00353F2F">
        <w:rPr>
          <w:rFonts w:ascii="Times New Roman" w:hAnsi="Times New Roman" w:cs="Times New Roman"/>
          <w:sz w:val="24"/>
          <w:szCs w:val="24"/>
        </w:rPr>
        <w:lastRenderedPageBreak/>
        <w:t>weaknesses in Nigerian companies.</w:t>
      </w:r>
      <w:r w:rsidRPr="00353F2F">
        <w:rPr>
          <w:rStyle w:val="FootnoteReference"/>
          <w:rFonts w:ascii="Times New Roman" w:hAnsi="Times New Roman" w:cs="Times New Roman"/>
          <w:sz w:val="24"/>
          <w:szCs w:val="24"/>
        </w:rPr>
        <w:footnoteReference w:id="260"/>
      </w:r>
      <w:r w:rsidRPr="00353F2F">
        <w:rPr>
          <w:rFonts w:ascii="Times New Roman" w:hAnsi="Times New Roman" w:cs="Times New Roman"/>
          <w:sz w:val="24"/>
          <w:szCs w:val="24"/>
        </w:rPr>
        <w:t xml:space="preserve"> The International Standards on Auditing adopted by the FRCN require auditors to obtain sufficient appropriate audit evidence to support their opinion, to maintain professional independence from their clients, and to report material weaknesses in internal control to those charged with governance, requirements whose consistent application would significantly strengthen the financial governance of Nigerian project companies.</w:t>
      </w:r>
      <w:r w:rsidRPr="00353F2F">
        <w:rPr>
          <w:rStyle w:val="FootnoteReference"/>
          <w:rFonts w:ascii="Times New Roman" w:hAnsi="Times New Roman" w:cs="Times New Roman"/>
          <w:sz w:val="24"/>
          <w:szCs w:val="24"/>
        </w:rPr>
        <w:footnoteReference w:id="261"/>
      </w:r>
    </w:p>
    <w:p w14:paraId="0DE9F417" w14:textId="77777777" w:rsidR="00AB7F86" w:rsidRPr="00353F2F" w:rsidRDefault="00AB7F86" w:rsidP="00353F2F">
      <w:pPr>
        <w:pStyle w:val="Heading2"/>
        <w:spacing w:line="480" w:lineRule="auto"/>
        <w:rPr>
          <w:sz w:val="24"/>
          <w:szCs w:val="24"/>
        </w:rPr>
      </w:pPr>
      <w:r w:rsidRPr="00353F2F">
        <w:rPr>
          <w:sz w:val="24"/>
          <w:szCs w:val="24"/>
        </w:rPr>
        <w:t>3.2.3 Central Bank of Nigeria</w:t>
      </w:r>
    </w:p>
    <w:p w14:paraId="6345DAF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Central Bank of Nigeria is the most systemically important institutional actor in the Nigerian project finance governance landscape, serving simultaneously as the regulator and supervisor of the principal project finance lenders, the administrator of foreign exchange controls that affect the currency risk profile of project finance transactions, the monetary policy authority whose decisions shape the interest rate environment for project finance, and the guardian of financial system stability whose assessment of systemic risks influences the regulatory framework applicable to project finance.</w:t>
      </w:r>
      <w:r w:rsidRPr="00353F2F">
        <w:rPr>
          <w:rStyle w:val="FootnoteReference"/>
          <w:rFonts w:ascii="Times New Roman" w:hAnsi="Times New Roman" w:cs="Times New Roman"/>
          <w:sz w:val="24"/>
          <w:szCs w:val="24"/>
        </w:rPr>
        <w:footnoteReference w:id="262"/>
      </w:r>
      <w:r w:rsidRPr="00353F2F">
        <w:rPr>
          <w:rFonts w:ascii="Times New Roman" w:hAnsi="Times New Roman" w:cs="Times New Roman"/>
          <w:sz w:val="24"/>
          <w:szCs w:val="24"/>
        </w:rPr>
        <w:t xml:space="preserve"> The CBN’s governance oversight function in the project finance context operates primarily through its supervisory authority over Nigerian banks, whose governance standards and risk management practices determine the quality of lender oversight of project finance borrowers.</w:t>
      </w:r>
    </w:p>
    <w:p w14:paraId="09EF047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CBN exercises its supervisory function through a combination of off-site monitoring, based on the review of periodic financial returns submitted by supervised institutions, and on-site examination, involving the physical inspection of institutions’ books, records, and governance </w:t>
      </w:r>
      <w:r w:rsidRPr="00353F2F">
        <w:rPr>
          <w:rFonts w:ascii="Times New Roman" w:hAnsi="Times New Roman" w:cs="Times New Roman"/>
          <w:sz w:val="24"/>
          <w:szCs w:val="24"/>
        </w:rPr>
        <w:lastRenderedPageBreak/>
        <w:t>arrangements by CBN examiners.</w:t>
      </w:r>
      <w:r w:rsidRPr="00353F2F">
        <w:rPr>
          <w:rStyle w:val="FootnoteReference"/>
          <w:rFonts w:ascii="Times New Roman" w:hAnsi="Times New Roman" w:cs="Times New Roman"/>
          <w:sz w:val="24"/>
          <w:szCs w:val="24"/>
        </w:rPr>
        <w:footnoteReference w:id="263"/>
      </w:r>
      <w:r w:rsidRPr="00353F2F">
        <w:rPr>
          <w:rFonts w:ascii="Times New Roman" w:hAnsi="Times New Roman" w:cs="Times New Roman"/>
          <w:sz w:val="24"/>
          <w:szCs w:val="24"/>
        </w:rPr>
        <w:t xml:space="preserve"> The CBN’s Risk-Based Supervision Framework, which replaced the earlier compliance-based approach, focuses supervisory resources on institutions and activities that present the highest systemic and individual institution risks, directing particular attention to the governance and risk management arrangements of banks with large project finance exposures.</w:t>
      </w:r>
      <w:r w:rsidRPr="00353F2F">
        <w:rPr>
          <w:rStyle w:val="FootnoteReference"/>
          <w:rFonts w:ascii="Times New Roman" w:hAnsi="Times New Roman" w:cs="Times New Roman"/>
          <w:sz w:val="24"/>
          <w:szCs w:val="24"/>
        </w:rPr>
        <w:footnoteReference w:id="264"/>
      </w:r>
      <w:r w:rsidRPr="00353F2F">
        <w:rPr>
          <w:rFonts w:ascii="Times New Roman" w:hAnsi="Times New Roman" w:cs="Times New Roman"/>
          <w:sz w:val="24"/>
          <w:szCs w:val="24"/>
        </w:rPr>
        <w:t xml:space="preserve"> The CBN’s authority to issue binding directives on governance matters — including directives requiring the removal of directors, the strengthening of risk management systems, and the improvement of capital adequacy, provides the institutional enforcement mechanism that gives practical effect to the governance standards established in the CBN Code and the associated regulatory guidelines.</w:t>
      </w:r>
      <w:r w:rsidRPr="00353F2F">
        <w:rPr>
          <w:rStyle w:val="FootnoteReference"/>
          <w:rFonts w:ascii="Times New Roman" w:hAnsi="Times New Roman" w:cs="Times New Roman"/>
          <w:sz w:val="24"/>
          <w:szCs w:val="24"/>
        </w:rPr>
        <w:footnoteReference w:id="265"/>
      </w:r>
      <w:r w:rsidRPr="00353F2F">
        <w:rPr>
          <w:rFonts w:ascii="Times New Roman" w:hAnsi="Times New Roman" w:cs="Times New Roman"/>
          <w:sz w:val="24"/>
          <w:szCs w:val="24"/>
        </w:rPr>
        <w:t xml:space="preserve"> BOFIA 2020, which significantly strengthened the CBN’s supervisory powers, authorizes the CBN to appoint examiners to take over the management of a bank or other financial institution where it is satisfied that the institution’s governance standards have deteriorated to a level that threatens its safety and soundness or the interests of depositors.</w:t>
      </w:r>
      <w:r w:rsidRPr="00353F2F">
        <w:rPr>
          <w:rStyle w:val="FootnoteReference"/>
          <w:rFonts w:ascii="Times New Roman" w:hAnsi="Times New Roman" w:cs="Times New Roman"/>
          <w:sz w:val="24"/>
          <w:szCs w:val="24"/>
        </w:rPr>
        <w:footnoteReference w:id="266"/>
      </w:r>
      <w:r w:rsidRPr="00353F2F">
        <w:rPr>
          <w:rFonts w:ascii="Times New Roman" w:hAnsi="Times New Roman" w:cs="Times New Roman"/>
          <w:sz w:val="24"/>
          <w:szCs w:val="24"/>
        </w:rPr>
        <w:t xml:space="preserve"> Ifeoma’s empirical research confirms that the intensity of CBN supervisory oversight, as measured by the frequency and </w:t>
      </w:r>
      <w:proofErr w:type="spellStart"/>
      <w:r w:rsidRPr="00353F2F">
        <w:rPr>
          <w:rFonts w:ascii="Times New Roman" w:hAnsi="Times New Roman" w:cs="Times New Roman"/>
          <w:sz w:val="24"/>
          <w:szCs w:val="24"/>
        </w:rPr>
        <w:t>rigour</w:t>
      </w:r>
      <w:proofErr w:type="spellEnd"/>
      <w:r w:rsidRPr="00353F2F">
        <w:rPr>
          <w:rFonts w:ascii="Times New Roman" w:hAnsi="Times New Roman" w:cs="Times New Roman"/>
          <w:sz w:val="24"/>
          <w:szCs w:val="24"/>
        </w:rPr>
        <w:t xml:space="preserve"> of on-site examinations, is a significant positive predictor of governance compliance quality in Nigerian banks, providing empirical support for the proposition that effective regulatory enforcement is essential for achieving substantive governance compliance.</w:t>
      </w:r>
      <w:r w:rsidRPr="00353F2F">
        <w:rPr>
          <w:rStyle w:val="FootnoteReference"/>
          <w:rFonts w:ascii="Times New Roman" w:hAnsi="Times New Roman" w:cs="Times New Roman"/>
          <w:sz w:val="24"/>
          <w:szCs w:val="24"/>
        </w:rPr>
        <w:footnoteReference w:id="267"/>
      </w:r>
      <w:r w:rsidRPr="00353F2F">
        <w:rPr>
          <w:rFonts w:ascii="Times New Roman" w:hAnsi="Times New Roman" w:cs="Times New Roman"/>
          <w:sz w:val="24"/>
          <w:szCs w:val="24"/>
        </w:rPr>
        <w:t xml:space="preserve"> The CBN’s foreign exchange regulations, which govern the availability and repatriation of foreign currency for project finance transactions involving international lenders and investors, create an additional institutional governance dimension: the need for project companies </w:t>
      </w:r>
      <w:r w:rsidRPr="00353F2F">
        <w:rPr>
          <w:rFonts w:ascii="Times New Roman" w:hAnsi="Times New Roman" w:cs="Times New Roman"/>
          <w:sz w:val="24"/>
          <w:szCs w:val="24"/>
        </w:rPr>
        <w:lastRenderedPageBreak/>
        <w:t>and their advisers to navigate a complex and sometimes unpredictable foreign exchange regulatory framework that can significantly affect the financial governance of a project.</w:t>
      </w:r>
      <w:r w:rsidRPr="00353F2F">
        <w:rPr>
          <w:rStyle w:val="FootnoteReference"/>
          <w:rFonts w:ascii="Times New Roman" w:hAnsi="Times New Roman" w:cs="Times New Roman"/>
          <w:sz w:val="24"/>
          <w:szCs w:val="24"/>
        </w:rPr>
        <w:footnoteReference w:id="268"/>
      </w:r>
    </w:p>
    <w:p w14:paraId="3189FF13" w14:textId="77777777" w:rsidR="00AB7F86" w:rsidRPr="00353F2F" w:rsidRDefault="00AB7F86" w:rsidP="00353F2F">
      <w:pPr>
        <w:pStyle w:val="Heading2"/>
        <w:spacing w:line="480" w:lineRule="auto"/>
        <w:rPr>
          <w:sz w:val="24"/>
          <w:szCs w:val="24"/>
        </w:rPr>
      </w:pPr>
      <w:r w:rsidRPr="00353F2F">
        <w:rPr>
          <w:sz w:val="24"/>
          <w:szCs w:val="24"/>
        </w:rPr>
        <w:t>3.2.4 Securities and Exchange Commission Nigeria</w:t>
      </w:r>
    </w:p>
    <w:p w14:paraId="160B533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Securities and Exchange Commission Nigeria, established by the Investments and Securities Act 2007, serves as the primary regulatory authority for Nigeria’s capital markets, with governance oversight responsibilities that are particularly relevant to project finance transactions involving listed project sponsors, project finance bond issuances, or capital market-based project financing structures.</w:t>
      </w:r>
      <w:r w:rsidRPr="00353F2F">
        <w:rPr>
          <w:rStyle w:val="FootnoteReference"/>
          <w:rFonts w:ascii="Times New Roman" w:hAnsi="Times New Roman" w:cs="Times New Roman"/>
          <w:sz w:val="24"/>
          <w:szCs w:val="24"/>
        </w:rPr>
        <w:footnoteReference w:id="269"/>
      </w:r>
      <w:r w:rsidRPr="00353F2F">
        <w:rPr>
          <w:rFonts w:ascii="Times New Roman" w:hAnsi="Times New Roman" w:cs="Times New Roman"/>
          <w:sz w:val="24"/>
          <w:szCs w:val="24"/>
        </w:rPr>
        <w:t xml:space="preserve"> The SEC’s governance mandate encompasses the registration and regulation of capital market operators, the oversight of securities exchanges and investment funds, the enforcement of disclosure and governance requirements applicable to listed companies, and the investigation and prosecution of capital market violations including insider trading, market manipulation, and financial statement fraud.</w:t>
      </w:r>
      <w:r w:rsidRPr="00353F2F">
        <w:rPr>
          <w:rStyle w:val="FootnoteReference"/>
          <w:rFonts w:ascii="Times New Roman" w:hAnsi="Times New Roman" w:cs="Times New Roman"/>
          <w:sz w:val="24"/>
          <w:szCs w:val="24"/>
        </w:rPr>
        <w:footnoteReference w:id="270"/>
      </w:r>
      <w:r w:rsidRPr="00353F2F">
        <w:rPr>
          <w:rFonts w:ascii="Times New Roman" w:hAnsi="Times New Roman" w:cs="Times New Roman"/>
          <w:sz w:val="24"/>
          <w:szCs w:val="24"/>
        </w:rPr>
        <w:t xml:space="preserve"> The SEC’s governance enforcement function includes the power to suspend or revoke the licenses of capital market operators that fail to meet applicable governance standards, to impose fines and other sanctions on listed companies for governance violations, and to seek court orders restraining ongoing governance violations.</w:t>
      </w:r>
      <w:r w:rsidRPr="00353F2F">
        <w:rPr>
          <w:rStyle w:val="FootnoteReference"/>
          <w:rFonts w:ascii="Times New Roman" w:hAnsi="Times New Roman" w:cs="Times New Roman"/>
          <w:sz w:val="24"/>
          <w:szCs w:val="24"/>
        </w:rPr>
        <w:footnoteReference w:id="271"/>
      </w:r>
    </w:p>
    <w:p w14:paraId="4B837018"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SEC’s governance oversight of listed project sponsors creates an important governance linkage between the capital market regulatory framework and the project finance market. Listed project sponsors that are subject to SEC oversight must comply with disclosure requirements, </w:t>
      </w:r>
      <w:r w:rsidRPr="00353F2F">
        <w:rPr>
          <w:rFonts w:ascii="Times New Roman" w:hAnsi="Times New Roman" w:cs="Times New Roman"/>
          <w:sz w:val="24"/>
          <w:szCs w:val="24"/>
        </w:rPr>
        <w:lastRenderedPageBreak/>
        <w:t>including the timely disclosure of material information about their project finance commitments, contingent liabilities, and related-party transactions, that provide project finance lenders with publicly available governance information about sponsor creditworthiness and governance quality.</w:t>
      </w:r>
      <w:r w:rsidRPr="00353F2F">
        <w:rPr>
          <w:rStyle w:val="FootnoteReference"/>
          <w:rFonts w:ascii="Times New Roman" w:hAnsi="Times New Roman" w:cs="Times New Roman"/>
          <w:sz w:val="24"/>
          <w:szCs w:val="24"/>
        </w:rPr>
        <w:footnoteReference w:id="272"/>
      </w:r>
      <w:r w:rsidRPr="00353F2F">
        <w:rPr>
          <w:rFonts w:ascii="Times New Roman" w:hAnsi="Times New Roman" w:cs="Times New Roman"/>
          <w:sz w:val="24"/>
          <w:szCs w:val="24"/>
        </w:rPr>
        <w:t xml:space="preserve"> The SEC’s authority to approve certain categories of project finance transactions involving capital market participants, including the issuance of project finance bonds and the structuring of collective investment schemes for infrastructure financing, gives the Commission a direct governance oversight role in capital market-based project finance structures.</w:t>
      </w:r>
      <w:r w:rsidRPr="00353F2F">
        <w:rPr>
          <w:rStyle w:val="FootnoteReference"/>
          <w:rFonts w:ascii="Times New Roman" w:hAnsi="Times New Roman" w:cs="Times New Roman"/>
          <w:sz w:val="24"/>
          <w:szCs w:val="24"/>
        </w:rPr>
        <w:footnoteReference w:id="273"/>
      </w:r>
      <w:r w:rsidRPr="00353F2F">
        <w:rPr>
          <w:rFonts w:ascii="Times New Roman" w:hAnsi="Times New Roman" w:cs="Times New Roman"/>
          <w:sz w:val="24"/>
          <w:szCs w:val="24"/>
        </w:rPr>
        <w:t xml:space="preserve"> Akintola-Bello has noted that the SEC’s governance oversight function, while strengthened by legislative reforms since 2007, continues to face capacity challenges, including limited qualified personnel and inadequate IT infrastructure for market surveillance and governance monitoring.</w:t>
      </w:r>
      <w:r w:rsidRPr="00353F2F">
        <w:rPr>
          <w:rStyle w:val="FootnoteReference"/>
          <w:rFonts w:ascii="Times New Roman" w:hAnsi="Times New Roman" w:cs="Times New Roman"/>
          <w:sz w:val="24"/>
          <w:szCs w:val="24"/>
        </w:rPr>
        <w:footnoteReference w:id="274"/>
      </w:r>
      <w:r w:rsidRPr="00353F2F">
        <w:rPr>
          <w:rFonts w:ascii="Times New Roman" w:hAnsi="Times New Roman" w:cs="Times New Roman"/>
          <w:sz w:val="24"/>
          <w:szCs w:val="24"/>
        </w:rPr>
        <w:t xml:space="preserve"> The World Bank ROSC Report for Nigeria identifies the strengthening of the SEC’s supervisory capacity and enforcement function as a priority governance reform recommendation, noting that effective capital market regulation is essential for attracting the long-term institutional investment that Nigerian project finance requires.</w:t>
      </w:r>
      <w:r w:rsidRPr="00353F2F">
        <w:rPr>
          <w:rStyle w:val="FootnoteReference"/>
          <w:rFonts w:ascii="Times New Roman" w:hAnsi="Times New Roman" w:cs="Times New Roman"/>
          <w:sz w:val="24"/>
          <w:szCs w:val="24"/>
        </w:rPr>
        <w:footnoteReference w:id="275"/>
      </w:r>
      <w:r w:rsidRPr="00353F2F">
        <w:rPr>
          <w:rFonts w:ascii="Times New Roman" w:hAnsi="Times New Roman" w:cs="Times New Roman"/>
          <w:sz w:val="24"/>
          <w:szCs w:val="24"/>
        </w:rPr>
        <w:t xml:space="preserve"> The SEC and the CBN have, through a memorandum of understanding on regulatory cooperation, established a framework for coordinating their respective governance oversight functions in areas of shared jurisdiction, including the governance of financial conglomerates, the regulation of capital market operators affiliated with banks, and the supervision of collective investment schemes investing in project finance assets, reducing the risk of regulatory gaps or conflicts that could undermine governance quality.</w:t>
      </w:r>
    </w:p>
    <w:p w14:paraId="0C7014C6" w14:textId="77777777" w:rsidR="00AB7F86" w:rsidRPr="00353F2F" w:rsidRDefault="00AB7F86" w:rsidP="00353F2F">
      <w:pPr>
        <w:pStyle w:val="Heading2"/>
        <w:spacing w:line="480" w:lineRule="auto"/>
        <w:rPr>
          <w:sz w:val="24"/>
          <w:szCs w:val="24"/>
        </w:rPr>
      </w:pPr>
      <w:r w:rsidRPr="00353F2F">
        <w:rPr>
          <w:sz w:val="24"/>
          <w:szCs w:val="24"/>
        </w:rPr>
        <w:lastRenderedPageBreak/>
        <w:t>3.2.5 Infrastructure Concession Regulatory Commission</w:t>
      </w:r>
    </w:p>
    <w:p w14:paraId="42D9B16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Infrastructure Concession Regulatory Commission, established by the ICRC Act 2005, serves as the primary institutional regulator for PPP and concession-based project finance transactions involving federal government assets, with a mandate that encompasses the oversight of concession procurement processes, the review and approval of concession agreements, the monitoring of concessionaire performance, and the enforcement of compliance with applicable concession governance standards.</w:t>
      </w:r>
      <w:r w:rsidRPr="00353F2F">
        <w:rPr>
          <w:rStyle w:val="FootnoteReference"/>
          <w:rFonts w:ascii="Times New Roman" w:hAnsi="Times New Roman" w:cs="Times New Roman"/>
          <w:sz w:val="24"/>
          <w:szCs w:val="24"/>
        </w:rPr>
        <w:footnoteReference w:id="276"/>
      </w:r>
      <w:r w:rsidRPr="00353F2F">
        <w:rPr>
          <w:rFonts w:ascii="Times New Roman" w:hAnsi="Times New Roman" w:cs="Times New Roman"/>
          <w:sz w:val="24"/>
          <w:szCs w:val="24"/>
        </w:rPr>
        <w:t xml:space="preserve"> The ICRC’s institutional role is particularly significant for the governance of project finance transactions in sectors including transportation (roads, ports, airports, railways), power (generation, transmission, and distribution), water supply, and federal government real estate assets, where the government is the grantor of the concession and the project company is the concessionaire.</w:t>
      </w:r>
    </w:p>
    <w:p w14:paraId="34782645"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ICRC’s governance oversight function encompasses both ex ante and ex post dimensions. Ex ante, the ICRC reviews and approves the governance arrangements proposed for concession projects, including the ownership and governance structure of the project company, the concession agreement governance provisions, and the risk allocation arrangements, before concession agreements are executed.</w:t>
      </w:r>
      <w:r w:rsidRPr="00353F2F">
        <w:rPr>
          <w:rStyle w:val="FootnoteReference"/>
          <w:rFonts w:ascii="Times New Roman" w:hAnsi="Times New Roman" w:cs="Times New Roman"/>
          <w:sz w:val="24"/>
          <w:szCs w:val="24"/>
        </w:rPr>
        <w:footnoteReference w:id="277"/>
      </w:r>
      <w:r w:rsidRPr="00353F2F">
        <w:rPr>
          <w:rFonts w:ascii="Times New Roman" w:hAnsi="Times New Roman" w:cs="Times New Roman"/>
          <w:sz w:val="24"/>
          <w:szCs w:val="24"/>
        </w:rPr>
        <w:t xml:space="preserve"> This pre-approval function provides a quality-assurance mechanism that screens out governance arrangements falling below the minimum standards required for a viable and bankable concession transaction. Ex post, the ICRC monitors the ongoing performance of concessionaires against the obligations established in their concession agreements, including governance performance indicators such as financial reporting compliance, environmental and </w:t>
      </w:r>
      <w:r w:rsidRPr="00353F2F">
        <w:rPr>
          <w:rFonts w:ascii="Times New Roman" w:hAnsi="Times New Roman" w:cs="Times New Roman"/>
          <w:sz w:val="24"/>
          <w:szCs w:val="24"/>
        </w:rPr>
        <w:lastRenderedPageBreak/>
        <w:t>social management performance, and community consultation obligations.</w:t>
      </w:r>
      <w:r w:rsidRPr="00353F2F">
        <w:rPr>
          <w:rStyle w:val="FootnoteReference"/>
          <w:rFonts w:ascii="Times New Roman" w:hAnsi="Times New Roman" w:cs="Times New Roman"/>
          <w:sz w:val="24"/>
          <w:szCs w:val="24"/>
        </w:rPr>
        <w:footnoteReference w:id="278"/>
      </w:r>
      <w:r w:rsidRPr="00353F2F">
        <w:rPr>
          <w:rFonts w:ascii="Times New Roman" w:hAnsi="Times New Roman" w:cs="Times New Roman"/>
          <w:sz w:val="24"/>
          <w:szCs w:val="24"/>
        </w:rPr>
        <w:t xml:space="preserve"> The Federal Ministry of Finance’s PPP Manual, which the ICRC uses as a governance reference document, establishes detailed guidance on the governance arrangements expected of concession project companies, including requirements for board composition, financial management, environmental and social management, and community relations.</w:t>
      </w:r>
      <w:r w:rsidRPr="00353F2F">
        <w:rPr>
          <w:rStyle w:val="FootnoteReference"/>
          <w:rFonts w:ascii="Times New Roman" w:hAnsi="Times New Roman" w:cs="Times New Roman"/>
          <w:sz w:val="24"/>
          <w:szCs w:val="24"/>
        </w:rPr>
        <w:footnoteReference w:id="279"/>
      </w:r>
      <w:r w:rsidRPr="00353F2F">
        <w:rPr>
          <w:rFonts w:ascii="Times New Roman" w:hAnsi="Times New Roman" w:cs="Times New Roman"/>
          <w:sz w:val="24"/>
          <w:szCs w:val="24"/>
        </w:rPr>
        <w:t xml:space="preserve"> Babatunde and others have observed that the ICRC’s institutional capacity constraints, including limited technical expertise in project finance structuring, financial modelling, and environmental assessment, have historically constrained its effectiveness as a project governance regulator, noting instances where poorly structured concession agreements have been approved by the ICRC without adequate scrutiny of their governance provisions.</w:t>
      </w:r>
      <w:r w:rsidRPr="00353F2F">
        <w:rPr>
          <w:rStyle w:val="FootnoteReference"/>
          <w:rFonts w:ascii="Times New Roman" w:hAnsi="Times New Roman" w:cs="Times New Roman"/>
          <w:sz w:val="24"/>
          <w:szCs w:val="24"/>
        </w:rPr>
        <w:footnoteReference w:id="280"/>
      </w:r>
      <w:r w:rsidRPr="00353F2F">
        <w:rPr>
          <w:rFonts w:ascii="Times New Roman" w:hAnsi="Times New Roman" w:cs="Times New Roman"/>
          <w:sz w:val="24"/>
          <w:szCs w:val="24"/>
        </w:rPr>
        <w:t xml:space="preserve"> </w:t>
      </w:r>
    </w:p>
    <w:p w14:paraId="0060FB17" w14:textId="77777777" w:rsidR="00AB7F86" w:rsidRPr="00353F2F" w:rsidRDefault="00AB7F86" w:rsidP="00353F2F">
      <w:pPr>
        <w:pStyle w:val="Heading2"/>
        <w:spacing w:line="480" w:lineRule="auto"/>
        <w:rPr>
          <w:sz w:val="24"/>
          <w:szCs w:val="24"/>
        </w:rPr>
      </w:pPr>
      <w:r w:rsidRPr="00353F2F">
        <w:rPr>
          <w:sz w:val="24"/>
          <w:szCs w:val="24"/>
        </w:rPr>
        <w:t>3.2.6 Nigerian Electricity Regulatory Commission</w:t>
      </w:r>
    </w:p>
    <w:p w14:paraId="238D428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Nigerian Electricity Regulatory Commission, established by the Electric Power Sector Reform Act 2005, is the primary regulatory authority for the governance of the Nigerian electricity sector, with responsibilities that are directly relevant to project finance transactions in the power generation, transmission, and distribution segments of the sector.</w:t>
      </w:r>
      <w:r w:rsidRPr="00353F2F">
        <w:rPr>
          <w:rStyle w:val="FootnoteReference"/>
          <w:rFonts w:ascii="Times New Roman" w:hAnsi="Times New Roman" w:cs="Times New Roman"/>
          <w:sz w:val="24"/>
          <w:szCs w:val="24"/>
        </w:rPr>
        <w:footnoteReference w:id="281"/>
      </w:r>
      <w:r w:rsidRPr="00353F2F">
        <w:rPr>
          <w:rFonts w:ascii="Times New Roman" w:hAnsi="Times New Roman" w:cs="Times New Roman"/>
          <w:sz w:val="24"/>
          <w:szCs w:val="24"/>
        </w:rPr>
        <w:t xml:space="preserve"> The NERC’s governance oversight role encompasses the licensing of electricity market participants, the setting and periodic review of electricity tariffs, the monitoring of licensee compliance with applicable technical, financial, and governance standards, the resolution of disputes among sector participants, and the </w:t>
      </w:r>
      <w:r w:rsidRPr="00353F2F">
        <w:rPr>
          <w:rFonts w:ascii="Times New Roman" w:hAnsi="Times New Roman" w:cs="Times New Roman"/>
          <w:sz w:val="24"/>
          <w:szCs w:val="24"/>
        </w:rPr>
        <w:lastRenderedPageBreak/>
        <w:t>enforcement of the performance obligations established in generation, transmission, and distribution licenses.</w:t>
      </w:r>
    </w:p>
    <w:p w14:paraId="7D3EE09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NERC’s governance framework for electricity-sector licensees includes requirements for the corporate governance of generation, transmission, and distribution companies, which have direct implications for the bankability of power-sector project finance transactions.</w:t>
      </w:r>
      <w:r w:rsidRPr="00353F2F">
        <w:rPr>
          <w:rStyle w:val="FootnoteReference"/>
          <w:rFonts w:ascii="Times New Roman" w:hAnsi="Times New Roman" w:cs="Times New Roman"/>
          <w:sz w:val="24"/>
          <w:szCs w:val="24"/>
        </w:rPr>
        <w:footnoteReference w:id="282"/>
      </w:r>
      <w:r w:rsidRPr="00353F2F">
        <w:rPr>
          <w:rFonts w:ascii="Times New Roman" w:hAnsi="Times New Roman" w:cs="Times New Roman"/>
          <w:sz w:val="24"/>
          <w:szCs w:val="24"/>
        </w:rPr>
        <w:t xml:space="preserve"> Generation licenses issued by the NERC include conditions requiring licensees to maintain specified governance standards, including requirements for financial reporting, auditing, regulatory compliance, environmental management, and community relations, with the NERC retaining the power to suspend or revoke licenses where licensees fail to meet these governance conditions.</w:t>
      </w:r>
      <w:r w:rsidRPr="00353F2F">
        <w:rPr>
          <w:rStyle w:val="FootnoteReference"/>
          <w:rFonts w:ascii="Times New Roman" w:hAnsi="Times New Roman" w:cs="Times New Roman"/>
          <w:sz w:val="24"/>
          <w:szCs w:val="24"/>
        </w:rPr>
        <w:footnoteReference w:id="283"/>
      </w:r>
      <w:r w:rsidRPr="00353F2F">
        <w:rPr>
          <w:rFonts w:ascii="Times New Roman" w:hAnsi="Times New Roman" w:cs="Times New Roman"/>
          <w:sz w:val="24"/>
          <w:szCs w:val="24"/>
        </w:rPr>
        <w:t xml:space="preserve"> The NERC’s tariff-setting function is particularly significant for project finance governance, as electricity tariff revenue is typically the primary source of cash flow for power-sector project finance transactions. The predictability and adequacy of the tariff framework are therefore critical determinants of project finance bankability, and governance weaknesses in the NERC’s regulatory processes, including unpredictable tariff reviews, political interference in tariff-setting, and inadequate enforcement of payment obligations, pose major bankability risks for Nigerian power-sector projects.</w:t>
      </w:r>
      <w:r w:rsidRPr="00353F2F">
        <w:rPr>
          <w:rStyle w:val="FootnoteReference"/>
          <w:rFonts w:ascii="Times New Roman" w:hAnsi="Times New Roman" w:cs="Times New Roman"/>
          <w:sz w:val="24"/>
          <w:szCs w:val="24"/>
        </w:rPr>
        <w:footnoteReference w:id="284"/>
      </w:r>
      <w:r w:rsidRPr="00353F2F">
        <w:rPr>
          <w:rFonts w:ascii="Times New Roman" w:hAnsi="Times New Roman" w:cs="Times New Roman"/>
          <w:sz w:val="24"/>
          <w:szCs w:val="24"/>
        </w:rPr>
        <w:t xml:space="preserve"> </w:t>
      </w:r>
    </w:p>
    <w:p w14:paraId="703B8A2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3.2.7 Nigerian Upstream Petroleum Regulatory Commission</w:t>
      </w:r>
    </w:p>
    <w:p w14:paraId="3730C188"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Nigerian Upstream Petroleum Regulatory Commission, established by the Petroleum Industry Act 2021 to replace the former Department of Petroleum Resources, is the primary regulatory </w:t>
      </w:r>
      <w:r w:rsidRPr="00353F2F">
        <w:rPr>
          <w:rFonts w:ascii="Times New Roman" w:hAnsi="Times New Roman" w:cs="Times New Roman"/>
          <w:sz w:val="24"/>
          <w:szCs w:val="24"/>
        </w:rPr>
        <w:lastRenderedPageBreak/>
        <w:t>authority for the governance of the Nigerian upstream petroleum sector, with comprehensive responsibilities for licensing, technical regulation, environmental supervision, and commercial oversight of upstream oil and gas operations.</w:t>
      </w:r>
      <w:r w:rsidRPr="00353F2F">
        <w:rPr>
          <w:rStyle w:val="FootnoteReference"/>
          <w:rFonts w:ascii="Times New Roman" w:hAnsi="Times New Roman" w:cs="Times New Roman"/>
          <w:sz w:val="24"/>
          <w:szCs w:val="24"/>
        </w:rPr>
        <w:footnoteReference w:id="285"/>
      </w:r>
      <w:r w:rsidRPr="00353F2F">
        <w:rPr>
          <w:rFonts w:ascii="Times New Roman" w:hAnsi="Times New Roman" w:cs="Times New Roman"/>
          <w:sz w:val="24"/>
          <w:szCs w:val="24"/>
        </w:rPr>
        <w:t xml:space="preserve"> The NUPRC’s establishment represents a significant governance reform of the Nigerian upstream petroleum sector, creating, for the first time, a purpose-built, technically focused regulatory commission with a clear statutory mandate and independent legal personality, replacing the former directorate structure, which had been criticized for institutional capture, regulatory inconsistency, and governance weaknesses.</w:t>
      </w:r>
    </w:p>
    <w:p w14:paraId="647D4882"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NUPRC’s governance oversight of upstream petroleum operations has direct implications for project finance in the oil and gas sector, which constitutes the single largest category of project finance activity in Nigeria by transaction volume and value.</w:t>
      </w:r>
      <w:r w:rsidRPr="00353F2F">
        <w:rPr>
          <w:rStyle w:val="FootnoteReference"/>
          <w:rFonts w:ascii="Times New Roman" w:hAnsi="Times New Roman" w:cs="Times New Roman"/>
          <w:sz w:val="24"/>
          <w:szCs w:val="24"/>
        </w:rPr>
        <w:footnoteReference w:id="286"/>
      </w:r>
      <w:r w:rsidRPr="00353F2F">
        <w:rPr>
          <w:rFonts w:ascii="Times New Roman" w:hAnsi="Times New Roman" w:cs="Times New Roman"/>
          <w:sz w:val="24"/>
          <w:szCs w:val="24"/>
        </w:rPr>
        <w:t xml:space="preserve"> The Commission’s authority to grant, renew, and revoke petroleum licenses and leases, including the commercial terms and governance conditions attached to licenses, creates a fundamental governance risk for project finance lenders, since the withdrawal or non-renewal of petroleum licenses would eliminate the revenue-generating capacity of the project and destroy the economic basis for debt service.</w:t>
      </w:r>
      <w:r w:rsidRPr="00353F2F">
        <w:rPr>
          <w:rStyle w:val="FootnoteReference"/>
          <w:rFonts w:ascii="Times New Roman" w:hAnsi="Times New Roman" w:cs="Times New Roman"/>
          <w:sz w:val="24"/>
          <w:szCs w:val="24"/>
        </w:rPr>
        <w:footnoteReference w:id="287"/>
      </w:r>
      <w:r w:rsidRPr="00353F2F">
        <w:rPr>
          <w:rFonts w:ascii="Times New Roman" w:hAnsi="Times New Roman" w:cs="Times New Roman"/>
          <w:sz w:val="24"/>
          <w:szCs w:val="24"/>
        </w:rPr>
        <w:t xml:space="preserve"> The NUPRC’s enforcement powers include the authority to impose fines and penalties for governance and compliance violations, to require the remediation of environmental damage, and to order the cessation of operations that present unacceptable safety or environmental risks, all of which create operational governance risks for project companies and their lenders.</w:t>
      </w:r>
      <w:r w:rsidRPr="00353F2F">
        <w:rPr>
          <w:rStyle w:val="FootnoteReference"/>
          <w:rFonts w:ascii="Times New Roman" w:hAnsi="Times New Roman" w:cs="Times New Roman"/>
          <w:sz w:val="24"/>
          <w:szCs w:val="24"/>
        </w:rPr>
        <w:footnoteReference w:id="288"/>
      </w:r>
      <w:r w:rsidRPr="00353F2F">
        <w:rPr>
          <w:rFonts w:ascii="Times New Roman" w:hAnsi="Times New Roman" w:cs="Times New Roman"/>
          <w:sz w:val="24"/>
          <w:szCs w:val="24"/>
        </w:rPr>
        <w:t xml:space="preserve"> </w:t>
      </w:r>
    </w:p>
    <w:p w14:paraId="355395B8" w14:textId="77777777" w:rsidR="00AB7F86" w:rsidRPr="00353F2F" w:rsidRDefault="00AB7F86" w:rsidP="00353F2F">
      <w:pPr>
        <w:pStyle w:val="Heading2"/>
        <w:spacing w:line="480" w:lineRule="auto"/>
        <w:rPr>
          <w:sz w:val="24"/>
          <w:szCs w:val="24"/>
        </w:rPr>
      </w:pPr>
      <w:r w:rsidRPr="00353F2F">
        <w:rPr>
          <w:sz w:val="24"/>
          <w:szCs w:val="24"/>
        </w:rPr>
        <w:t>3.2.8 Nigerian Midstream and Downstream Petroleum Regulatory Authority</w:t>
      </w:r>
    </w:p>
    <w:p w14:paraId="62A37C4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The Nigerian Midstream and Downstream Petroleum Regulatory Authority, established alongside the NUPRC by the Petroleum Industry Act 2021 to regulate midstream and downstream petroleum operations, is the competent authority for the governance of Nigeria’s gas transmission pipelines, petroleum product refineries, petroleum product distribution networks, and associated midstream infrastructure, all of which are sectors with significant and growing project finance activity.</w:t>
      </w:r>
      <w:r w:rsidRPr="00353F2F">
        <w:rPr>
          <w:rStyle w:val="FootnoteReference"/>
          <w:rFonts w:ascii="Times New Roman" w:hAnsi="Times New Roman" w:cs="Times New Roman"/>
          <w:sz w:val="24"/>
          <w:szCs w:val="24"/>
        </w:rPr>
        <w:footnoteReference w:id="289"/>
      </w:r>
      <w:r w:rsidRPr="00353F2F">
        <w:rPr>
          <w:rFonts w:ascii="Times New Roman" w:hAnsi="Times New Roman" w:cs="Times New Roman"/>
          <w:sz w:val="24"/>
          <w:szCs w:val="24"/>
        </w:rPr>
        <w:t xml:space="preserve"> The NMDPRA’s establishment as a dedicated regulatory authority for midstream and downstream operations represents a significant institutional governance improvement over the previous arrangement under which regulatory authority for these sectors was fragmented among the Department of Petroleum Resources, the Petroleum Products Pricing Regulatory Agency, and the Petroleum Equalization Fund, creating overlapping jurisdictions, regulatory gaps, and governance uncertainties that constrained investment.</w:t>
      </w:r>
    </w:p>
    <w:p w14:paraId="34E4624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NMDPRA’s licensing and governance oversight function for midstream infrastructure, including natural gas pipelines, gas processing facilities, and LNG export terminals, is directly relevant to the project finance governance framework for Nigerian gas infrastructure projects.</w:t>
      </w:r>
      <w:r w:rsidRPr="00353F2F">
        <w:rPr>
          <w:rStyle w:val="FootnoteReference"/>
          <w:rFonts w:ascii="Times New Roman" w:hAnsi="Times New Roman" w:cs="Times New Roman"/>
          <w:sz w:val="24"/>
          <w:szCs w:val="24"/>
        </w:rPr>
        <w:footnoteReference w:id="290"/>
      </w:r>
      <w:r w:rsidRPr="00353F2F">
        <w:rPr>
          <w:rFonts w:ascii="Times New Roman" w:hAnsi="Times New Roman" w:cs="Times New Roman"/>
          <w:sz w:val="24"/>
          <w:szCs w:val="24"/>
        </w:rPr>
        <w:t xml:space="preserve"> These projects, which are among the most capital-intensive in the Nigerian project finance market, require the NMDPRA’s prior regulatory approval for their commercial terms and governance arrangements, and the NMDPRA’s ongoing monitoring of licensee performance against applicable technical, financial, and environmental standards provides the regulatory governance oversight that project finance lenders require.</w:t>
      </w:r>
      <w:r w:rsidRPr="00353F2F">
        <w:rPr>
          <w:rStyle w:val="FootnoteReference"/>
          <w:rFonts w:ascii="Times New Roman" w:hAnsi="Times New Roman" w:cs="Times New Roman"/>
          <w:sz w:val="24"/>
          <w:szCs w:val="24"/>
        </w:rPr>
        <w:footnoteReference w:id="291"/>
      </w:r>
      <w:r w:rsidRPr="00353F2F">
        <w:rPr>
          <w:rFonts w:ascii="Times New Roman" w:hAnsi="Times New Roman" w:cs="Times New Roman"/>
          <w:sz w:val="24"/>
          <w:szCs w:val="24"/>
        </w:rPr>
        <w:t xml:space="preserve"> The NMDPRA’s administration of the Petroleum Industry Act’s host community development framework, which requires midstream and downstream </w:t>
      </w:r>
      <w:r w:rsidRPr="00353F2F">
        <w:rPr>
          <w:rFonts w:ascii="Times New Roman" w:hAnsi="Times New Roman" w:cs="Times New Roman"/>
          <w:sz w:val="24"/>
          <w:szCs w:val="24"/>
        </w:rPr>
        <w:lastRenderedPageBreak/>
        <w:t>operators to establish host community development trusts and direct a specified percentage of their annual operating expenditure to community development purposes — creates additional governance obligations for project companies that must be integrated into the project governance and financial planning framework.</w:t>
      </w:r>
      <w:r w:rsidRPr="00353F2F">
        <w:rPr>
          <w:rStyle w:val="FootnoteReference"/>
          <w:rFonts w:ascii="Times New Roman" w:hAnsi="Times New Roman" w:cs="Times New Roman"/>
          <w:sz w:val="24"/>
          <w:szCs w:val="24"/>
        </w:rPr>
        <w:footnoteReference w:id="292"/>
      </w:r>
      <w:r w:rsidRPr="00353F2F">
        <w:rPr>
          <w:rFonts w:ascii="Times New Roman" w:hAnsi="Times New Roman" w:cs="Times New Roman"/>
          <w:sz w:val="24"/>
          <w:szCs w:val="24"/>
        </w:rPr>
        <w:t xml:space="preserve"> </w:t>
      </w:r>
    </w:p>
    <w:p w14:paraId="389A07A5" w14:textId="77777777" w:rsidR="00AB7F86" w:rsidRPr="00353F2F" w:rsidRDefault="00AB7F86" w:rsidP="00353F2F">
      <w:pPr>
        <w:pStyle w:val="Heading2"/>
        <w:spacing w:line="480" w:lineRule="auto"/>
        <w:rPr>
          <w:sz w:val="24"/>
          <w:szCs w:val="24"/>
        </w:rPr>
      </w:pPr>
      <w:r w:rsidRPr="00353F2F">
        <w:rPr>
          <w:sz w:val="24"/>
          <w:szCs w:val="24"/>
        </w:rPr>
        <w:t>3.2.9 Nigerian Investment Promotion Commission</w:t>
      </w:r>
    </w:p>
    <w:p w14:paraId="082408F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Nigerian Investment Promotion Commission, established by the Nigerian Investment Promotion Commission Act 1995 (as amended), serves as Nigeria’s principal foreign direct investment promotion and facilitation agency, with a governance mandate that includes the coordination of investment policy, the provision of investment facilitation services, and the negotiation of bilateral investment treaties and investment protection agreements on behalf of Nigeria.</w:t>
      </w:r>
      <w:r w:rsidRPr="00353F2F">
        <w:rPr>
          <w:rStyle w:val="FootnoteReference"/>
          <w:rFonts w:ascii="Times New Roman" w:hAnsi="Times New Roman" w:cs="Times New Roman"/>
          <w:sz w:val="24"/>
          <w:szCs w:val="24"/>
        </w:rPr>
        <w:footnoteReference w:id="293"/>
      </w:r>
      <w:r w:rsidRPr="00353F2F">
        <w:rPr>
          <w:rFonts w:ascii="Times New Roman" w:hAnsi="Times New Roman" w:cs="Times New Roman"/>
          <w:sz w:val="24"/>
          <w:szCs w:val="24"/>
        </w:rPr>
        <w:t xml:space="preserve"> The NIPC’s role in the project finance governance context is primarily that of a facilitator and enabler, assisting foreign project sponsors to navigate the Nigerian regulatory environment, facilitating the resolution of bureaucratic obstacles to investment, and providing a single institutional interface with which foreign investors can engage across multiple regulatory domains.</w:t>
      </w:r>
    </w:p>
    <w:p w14:paraId="697935F6"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NIPC’s administration of the Nigerian Investment Promotion Commission Act guarantees to all enterprises in which foreign capital is invested in Nigeria the right to transfer in convertible currency, through an </w:t>
      </w:r>
      <w:proofErr w:type="spellStart"/>
      <w:r w:rsidRPr="00353F2F">
        <w:rPr>
          <w:rFonts w:ascii="Times New Roman" w:hAnsi="Times New Roman" w:cs="Times New Roman"/>
          <w:sz w:val="24"/>
          <w:szCs w:val="24"/>
        </w:rPr>
        <w:t>authorised</w:t>
      </w:r>
      <w:proofErr w:type="spellEnd"/>
      <w:r w:rsidRPr="00353F2F">
        <w:rPr>
          <w:rFonts w:ascii="Times New Roman" w:hAnsi="Times New Roman" w:cs="Times New Roman"/>
          <w:sz w:val="24"/>
          <w:szCs w:val="24"/>
        </w:rPr>
        <w:t xml:space="preserve"> dealer, dividends and profits attributable to the foreign investment, and the remittance of proceeds, in case of sale or liquidation of the enterprise or any interest attributable to the investment.</w:t>
      </w:r>
      <w:r w:rsidRPr="00353F2F">
        <w:rPr>
          <w:rStyle w:val="FootnoteReference"/>
          <w:rFonts w:ascii="Times New Roman" w:hAnsi="Times New Roman" w:cs="Times New Roman"/>
          <w:sz w:val="24"/>
          <w:szCs w:val="24"/>
        </w:rPr>
        <w:footnoteReference w:id="294"/>
      </w:r>
      <w:r w:rsidRPr="00353F2F">
        <w:rPr>
          <w:rFonts w:ascii="Times New Roman" w:hAnsi="Times New Roman" w:cs="Times New Roman"/>
          <w:sz w:val="24"/>
          <w:szCs w:val="24"/>
        </w:rPr>
        <w:t xml:space="preserve"> These statutory investment protection guarantees are relevant to </w:t>
      </w:r>
      <w:r w:rsidRPr="00353F2F">
        <w:rPr>
          <w:rFonts w:ascii="Times New Roman" w:hAnsi="Times New Roman" w:cs="Times New Roman"/>
          <w:sz w:val="24"/>
          <w:szCs w:val="24"/>
        </w:rPr>
        <w:lastRenderedPageBreak/>
        <w:t>the governance of project finance transactions with international sponsors, as they provide a degree of protection against foreign exchange restrictions and repatriation controls that would otherwise constitute significant governance and financial risks for international project investors.</w:t>
      </w:r>
      <w:r w:rsidRPr="00353F2F">
        <w:rPr>
          <w:rStyle w:val="FootnoteReference"/>
          <w:rFonts w:ascii="Times New Roman" w:hAnsi="Times New Roman" w:cs="Times New Roman"/>
          <w:sz w:val="24"/>
          <w:szCs w:val="24"/>
        </w:rPr>
        <w:footnoteReference w:id="295"/>
      </w:r>
      <w:r w:rsidRPr="00353F2F">
        <w:rPr>
          <w:rFonts w:ascii="Times New Roman" w:hAnsi="Times New Roman" w:cs="Times New Roman"/>
          <w:sz w:val="24"/>
          <w:szCs w:val="24"/>
        </w:rPr>
        <w:t xml:space="preserve"> The NIPC’s authority to certify investments as qualifying for the special incentives available under the Industrial Development (Income Tax Relief) Act and other investment incentive legislation can affect the financial governance of project companies by reducing their tax burden and improving project cash flow projections.</w:t>
      </w:r>
      <w:r w:rsidRPr="00353F2F">
        <w:rPr>
          <w:rStyle w:val="FootnoteReference"/>
          <w:rFonts w:ascii="Times New Roman" w:hAnsi="Times New Roman" w:cs="Times New Roman"/>
          <w:sz w:val="24"/>
          <w:szCs w:val="24"/>
        </w:rPr>
        <w:footnoteReference w:id="296"/>
      </w:r>
      <w:r w:rsidRPr="00353F2F">
        <w:rPr>
          <w:rFonts w:ascii="Times New Roman" w:hAnsi="Times New Roman" w:cs="Times New Roman"/>
          <w:sz w:val="24"/>
          <w:szCs w:val="24"/>
        </w:rPr>
        <w:t xml:space="preserve"> The Multilateral Investment Guarantee Agency’s political risk insurance products, which protect against the risks of expropriation, currency inconvertibility, breach of contract by the host government, and war and civil disturbance, represent an important risk mitigation instrument for international project finance investors in Nigeria, complementing the statutory investment protections available through the NIPC.</w:t>
      </w:r>
      <w:r w:rsidRPr="00353F2F">
        <w:rPr>
          <w:rStyle w:val="FootnoteReference"/>
          <w:rFonts w:ascii="Times New Roman" w:hAnsi="Times New Roman" w:cs="Times New Roman"/>
          <w:sz w:val="24"/>
          <w:szCs w:val="24"/>
        </w:rPr>
        <w:footnoteReference w:id="297"/>
      </w:r>
      <w:r w:rsidRPr="00353F2F">
        <w:rPr>
          <w:rFonts w:ascii="Times New Roman" w:hAnsi="Times New Roman" w:cs="Times New Roman"/>
          <w:sz w:val="24"/>
          <w:szCs w:val="24"/>
        </w:rPr>
        <w:t xml:space="preserve"> </w:t>
      </w:r>
    </w:p>
    <w:p w14:paraId="6A1801B8" w14:textId="77777777" w:rsidR="00AB7F86" w:rsidRPr="00353F2F" w:rsidRDefault="00AB7F86" w:rsidP="00353F2F">
      <w:pPr>
        <w:spacing w:before="180" w:after="18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3.3 INTERNATIONAL GOVERNANCE AND FINANCE STANDARDS</w:t>
      </w:r>
    </w:p>
    <w:p w14:paraId="3606EA81" w14:textId="77777777" w:rsidR="00AB7F86" w:rsidRPr="00353F2F" w:rsidRDefault="00AB7F86" w:rsidP="00353F2F">
      <w:pPr>
        <w:spacing w:before="180" w:after="18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3.3.1 Organization for Economic Co-operation and Development (OECD) Principles of Corporate Governance</w:t>
      </w:r>
    </w:p>
    <w:p w14:paraId="425F179A"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OECD Principles of Corporate Governance, first issued in 1999 and most recently revised in 2023, represent the most authoritative and globally influential normative framework for corporate governance, providing internationally agreed standards that serve as the primary reference point for governance reform across OECD member countries and an increasing number of non-member jurisdictions, including Nigeria.</w:t>
      </w:r>
      <w:r w:rsidRPr="00353F2F">
        <w:rPr>
          <w:rStyle w:val="FootnoteReference"/>
          <w:rFonts w:ascii="Times New Roman" w:hAnsi="Times New Roman" w:cs="Times New Roman"/>
          <w:sz w:val="24"/>
          <w:szCs w:val="24"/>
        </w:rPr>
        <w:footnoteReference w:id="298"/>
      </w:r>
      <w:r w:rsidRPr="00353F2F">
        <w:rPr>
          <w:rFonts w:ascii="Times New Roman" w:hAnsi="Times New Roman" w:cs="Times New Roman"/>
          <w:sz w:val="24"/>
          <w:szCs w:val="24"/>
        </w:rPr>
        <w:t xml:space="preserve"> The Principles are organized around six thematic areas: </w:t>
      </w:r>
      <w:r w:rsidRPr="00353F2F">
        <w:rPr>
          <w:rFonts w:ascii="Times New Roman" w:hAnsi="Times New Roman" w:cs="Times New Roman"/>
          <w:sz w:val="24"/>
          <w:szCs w:val="24"/>
        </w:rPr>
        <w:lastRenderedPageBreak/>
        <w:t>ensuring the basis for an effective corporate governance framework; the rights and equitable treatment of shareholders and key ownership functions; institutional investors, stock markets, and other intermediaries; the role of stakeholders in corporate governance; disclosure and transparency; and the responsibilities of the board.</w:t>
      </w:r>
      <w:r w:rsidRPr="00353F2F">
        <w:rPr>
          <w:rStyle w:val="FootnoteReference"/>
          <w:rFonts w:ascii="Times New Roman" w:hAnsi="Times New Roman" w:cs="Times New Roman"/>
          <w:sz w:val="24"/>
          <w:szCs w:val="24"/>
        </w:rPr>
        <w:footnoteReference w:id="299"/>
      </w:r>
      <w:r w:rsidRPr="00353F2F">
        <w:rPr>
          <w:rFonts w:ascii="Times New Roman" w:hAnsi="Times New Roman" w:cs="Times New Roman"/>
          <w:sz w:val="24"/>
          <w:szCs w:val="24"/>
        </w:rPr>
        <w:t xml:space="preserve"> Each thematic area is accompanied by detailed annotations that explain the rationale for the principles and provide guidance on their practical application across different legal and institutional contexts, making the Principles a comprehensive and practical governance reference.</w:t>
      </w:r>
    </w:p>
    <w:p w14:paraId="55194663"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OECD Principles’ emphasis on the board’s responsibility for risk management and internal control is directly relevant to the project finance context.</w:t>
      </w:r>
      <w:r w:rsidRPr="00353F2F">
        <w:rPr>
          <w:rStyle w:val="FootnoteReference"/>
          <w:rFonts w:ascii="Times New Roman" w:hAnsi="Times New Roman" w:cs="Times New Roman"/>
          <w:sz w:val="24"/>
          <w:szCs w:val="24"/>
        </w:rPr>
        <w:footnoteReference w:id="300"/>
      </w:r>
      <w:r w:rsidRPr="00353F2F">
        <w:rPr>
          <w:rFonts w:ascii="Times New Roman" w:hAnsi="Times New Roman" w:cs="Times New Roman"/>
          <w:sz w:val="24"/>
          <w:szCs w:val="24"/>
        </w:rPr>
        <w:t xml:space="preserve"> The Principles require that boards establish and maintain appropriate risk management systems, ensure that these systems are regularly reviewed for their effectiveness, and receive regular reporting from management on the principal risks facing the company and the steps being taken to manage them. These board-level risk management requirements align precisely with the governance standards that project finance lenders impose through their loan covenants, making the OECD Principles a convergent normative benchmark for project company governance in both the regulatory and commercial contexts.</w:t>
      </w:r>
      <w:r w:rsidRPr="00353F2F">
        <w:rPr>
          <w:rStyle w:val="FootnoteReference"/>
          <w:rFonts w:ascii="Times New Roman" w:hAnsi="Times New Roman" w:cs="Times New Roman"/>
          <w:sz w:val="24"/>
          <w:szCs w:val="24"/>
        </w:rPr>
        <w:footnoteReference w:id="301"/>
      </w:r>
      <w:r w:rsidRPr="00353F2F">
        <w:rPr>
          <w:rFonts w:ascii="Times New Roman" w:hAnsi="Times New Roman" w:cs="Times New Roman"/>
          <w:sz w:val="24"/>
          <w:szCs w:val="24"/>
        </w:rPr>
        <w:t xml:space="preserve"> The Principles’ provisions on disclosure and transparency, requiring the timely, accurate, and accessible disclosure of all material information that could affect investment decisions, are similarly aligned with the information and reporting obligations imposed on project companies by their project finance documentation.</w:t>
      </w:r>
      <w:r w:rsidRPr="00353F2F">
        <w:rPr>
          <w:rStyle w:val="FootnoteReference"/>
          <w:rFonts w:ascii="Times New Roman" w:hAnsi="Times New Roman" w:cs="Times New Roman"/>
          <w:sz w:val="24"/>
          <w:szCs w:val="24"/>
        </w:rPr>
        <w:footnoteReference w:id="302"/>
      </w:r>
      <w:r w:rsidRPr="00353F2F">
        <w:rPr>
          <w:rFonts w:ascii="Times New Roman" w:hAnsi="Times New Roman" w:cs="Times New Roman"/>
          <w:sz w:val="24"/>
          <w:szCs w:val="24"/>
        </w:rPr>
        <w:t xml:space="preserve"> </w:t>
      </w:r>
    </w:p>
    <w:p w14:paraId="45AE1CD4" w14:textId="77777777" w:rsidR="00AB7F86" w:rsidRPr="00353F2F" w:rsidRDefault="00AB7F86" w:rsidP="00353F2F">
      <w:pPr>
        <w:pStyle w:val="Heading2"/>
        <w:spacing w:line="480" w:lineRule="auto"/>
        <w:rPr>
          <w:sz w:val="24"/>
          <w:szCs w:val="24"/>
        </w:rPr>
      </w:pPr>
      <w:r w:rsidRPr="00353F2F">
        <w:rPr>
          <w:sz w:val="24"/>
          <w:szCs w:val="24"/>
        </w:rPr>
        <w:lastRenderedPageBreak/>
        <w:t>3.3.2 World Bank Governance Framework</w:t>
      </w:r>
    </w:p>
    <w:p w14:paraId="4394DB3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World Bank Group’s governance framework for private sector investment in developing countries encompasses a comprehensive set of standards, guidelines, and assessment tools that collectively establish the governance requirements applicable to World Bank-financed projects and to countries seeking World Bank technical assistance for governance reform.</w:t>
      </w:r>
      <w:r w:rsidRPr="00353F2F">
        <w:rPr>
          <w:rStyle w:val="FootnoteReference"/>
          <w:rFonts w:ascii="Times New Roman" w:hAnsi="Times New Roman" w:cs="Times New Roman"/>
          <w:sz w:val="24"/>
          <w:szCs w:val="24"/>
        </w:rPr>
        <w:footnoteReference w:id="303"/>
      </w:r>
      <w:r w:rsidRPr="00353F2F">
        <w:rPr>
          <w:rFonts w:ascii="Times New Roman" w:hAnsi="Times New Roman" w:cs="Times New Roman"/>
          <w:sz w:val="24"/>
          <w:szCs w:val="24"/>
        </w:rPr>
        <w:t xml:space="preserve"> The World Bank’s governance framework operates in the Nigerian project finance context through multiple channels: the World Bank’s direct financing of infrastructure projects through the International Bank for Reconstruction and Development and the International Development Association; the IFC’s financing of private sector projects through its own account and its </w:t>
      </w:r>
      <w:proofErr w:type="spellStart"/>
      <w:r w:rsidRPr="00353F2F">
        <w:rPr>
          <w:rFonts w:ascii="Times New Roman" w:hAnsi="Times New Roman" w:cs="Times New Roman"/>
          <w:sz w:val="24"/>
          <w:szCs w:val="24"/>
        </w:rPr>
        <w:t>mobilisation</w:t>
      </w:r>
      <w:proofErr w:type="spellEnd"/>
      <w:r w:rsidRPr="00353F2F">
        <w:rPr>
          <w:rFonts w:ascii="Times New Roman" w:hAnsi="Times New Roman" w:cs="Times New Roman"/>
          <w:sz w:val="24"/>
          <w:szCs w:val="24"/>
        </w:rPr>
        <w:t xml:space="preserve"> of commercial lender financing through the B-loan </w:t>
      </w:r>
      <w:proofErr w:type="spellStart"/>
      <w:r w:rsidRPr="00353F2F">
        <w:rPr>
          <w:rFonts w:ascii="Times New Roman" w:hAnsi="Times New Roman" w:cs="Times New Roman"/>
          <w:sz w:val="24"/>
          <w:szCs w:val="24"/>
        </w:rPr>
        <w:t>programme</w:t>
      </w:r>
      <w:proofErr w:type="spellEnd"/>
      <w:r w:rsidRPr="00353F2F">
        <w:rPr>
          <w:rFonts w:ascii="Times New Roman" w:hAnsi="Times New Roman" w:cs="Times New Roman"/>
          <w:sz w:val="24"/>
          <w:szCs w:val="24"/>
        </w:rPr>
        <w:t>; the Multilateral Investment Guarantee Agency’s provision of political risk guarantees; and the World Bank’s technical assistance to Nigerian regulatory institutions for governance capacity building.</w:t>
      </w:r>
      <w:r w:rsidRPr="00353F2F">
        <w:rPr>
          <w:rStyle w:val="FootnoteReference"/>
          <w:rFonts w:ascii="Times New Roman" w:hAnsi="Times New Roman" w:cs="Times New Roman"/>
          <w:sz w:val="24"/>
          <w:szCs w:val="24"/>
        </w:rPr>
        <w:footnoteReference w:id="304"/>
      </w:r>
      <w:r w:rsidRPr="00353F2F">
        <w:rPr>
          <w:rFonts w:ascii="Times New Roman" w:hAnsi="Times New Roman" w:cs="Times New Roman"/>
          <w:sz w:val="24"/>
          <w:szCs w:val="24"/>
        </w:rPr>
        <w:t xml:space="preserve"> </w:t>
      </w:r>
    </w:p>
    <w:p w14:paraId="40A9A90A"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World Bank’s Principles for Public-Private Partnerships establish a governance framework for PPP transactions that elaborates on the specific governance requirements applicable to concession and project finance structures involving government entities.</w:t>
      </w:r>
      <w:r w:rsidRPr="00353F2F">
        <w:rPr>
          <w:rStyle w:val="FootnoteReference"/>
          <w:rFonts w:ascii="Times New Roman" w:hAnsi="Times New Roman" w:cs="Times New Roman"/>
          <w:sz w:val="24"/>
          <w:szCs w:val="24"/>
        </w:rPr>
        <w:footnoteReference w:id="305"/>
      </w:r>
      <w:r w:rsidRPr="00353F2F">
        <w:rPr>
          <w:rFonts w:ascii="Times New Roman" w:hAnsi="Times New Roman" w:cs="Times New Roman"/>
          <w:sz w:val="24"/>
          <w:szCs w:val="24"/>
        </w:rPr>
        <w:t xml:space="preserve"> These principles include requirements for transparent and competitive procurement processes for PPP concessions, clear and balanced risk allocation arrangements in concession agreements, robust monitoring and reporting obligations for private concessionaires, effective dispute resolution mechanisms, and adequate stakeholder consultation processes.</w:t>
      </w:r>
      <w:r w:rsidRPr="00353F2F">
        <w:rPr>
          <w:rStyle w:val="FootnoteReference"/>
          <w:rFonts w:ascii="Times New Roman" w:hAnsi="Times New Roman" w:cs="Times New Roman"/>
          <w:sz w:val="24"/>
          <w:szCs w:val="24"/>
        </w:rPr>
        <w:footnoteReference w:id="306"/>
      </w:r>
      <w:r w:rsidRPr="00353F2F">
        <w:rPr>
          <w:rFonts w:ascii="Times New Roman" w:hAnsi="Times New Roman" w:cs="Times New Roman"/>
          <w:sz w:val="24"/>
          <w:szCs w:val="24"/>
        </w:rPr>
        <w:t xml:space="preserve"> The World Bank’s ROSC </w:t>
      </w:r>
      <w:proofErr w:type="spellStart"/>
      <w:r w:rsidRPr="00353F2F">
        <w:rPr>
          <w:rFonts w:ascii="Times New Roman" w:hAnsi="Times New Roman" w:cs="Times New Roman"/>
          <w:sz w:val="24"/>
          <w:szCs w:val="24"/>
        </w:rPr>
        <w:t>programme</w:t>
      </w:r>
      <w:proofErr w:type="spellEnd"/>
      <w:r w:rsidRPr="00353F2F">
        <w:rPr>
          <w:rFonts w:ascii="Times New Roman" w:hAnsi="Times New Roman" w:cs="Times New Roman"/>
          <w:sz w:val="24"/>
          <w:szCs w:val="24"/>
        </w:rPr>
        <w:t xml:space="preserve">, which </w:t>
      </w:r>
      <w:r w:rsidRPr="00353F2F">
        <w:rPr>
          <w:rFonts w:ascii="Times New Roman" w:hAnsi="Times New Roman" w:cs="Times New Roman"/>
          <w:sz w:val="24"/>
          <w:szCs w:val="24"/>
        </w:rPr>
        <w:lastRenderedPageBreak/>
        <w:t>assesses the degree of country compliance with international standards and codes in areas including corporate governance, accounting and auditing, and insolvency, provides a systematic framework for identifying governance weaknesses in national frameworks that affect the attractiveness of countries as project finance destinations.</w:t>
      </w:r>
      <w:r w:rsidRPr="00353F2F">
        <w:rPr>
          <w:rStyle w:val="FootnoteReference"/>
          <w:rFonts w:ascii="Times New Roman" w:hAnsi="Times New Roman" w:cs="Times New Roman"/>
          <w:sz w:val="24"/>
          <w:szCs w:val="24"/>
        </w:rPr>
        <w:footnoteReference w:id="307"/>
      </w:r>
      <w:r w:rsidRPr="00353F2F">
        <w:rPr>
          <w:rFonts w:ascii="Times New Roman" w:hAnsi="Times New Roman" w:cs="Times New Roman"/>
          <w:sz w:val="24"/>
          <w:szCs w:val="24"/>
        </w:rPr>
        <w:t xml:space="preserve"> The African Development Bank’s complementary role in Nigerian infrastructure finance provides additional institutional governance reinforcement, as AfDB project finance requirements are broadly aligned with World Bank governance standards and their combined application to individual transactions provides a powerful multilateral governance oversight mechanism.</w:t>
      </w:r>
      <w:r w:rsidRPr="00353F2F">
        <w:rPr>
          <w:rStyle w:val="FootnoteReference"/>
          <w:rFonts w:ascii="Times New Roman" w:hAnsi="Times New Roman" w:cs="Times New Roman"/>
          <w:sz w:val="24"/>
          <w:szCs w:val="24"/>
        </w:rPr>
        <w:footnoteReference w:id="308"/>
      </w:r>
      <w:r w:rsidRPr="00353F2F">
        <w:rPr>
          <w:rFonts w:ascii="Times New Roman" w:hAnsi="Times New Roman" w:cs="Times New Roman"/>
          <w:sz w:val="24"/>
          <w:szCs w:val="24"/>
        </w:rPr>
        <w:t xml:space="preserve"> The World Bank’s Governance and Institutions Department has provided specific technical assistance to Nigerian governance institutions, including the CAC, the FRCN, and the ICRC, supporting their capacity building </w:t>
      </w:r>
      <w:proofErr w:type="spellStart"/>
      <w:r w:rsidRPr="00353F2F">
        <w:rPr>
          <w:rFonts w:ascii="Times New Roman" w:hAnsi="Times New Roman" w:cs="Times New Roman"/>
          <w:sz w:val="24"/>
          <w:szCs w:val="24"/>
        </w:rPr>
        <w:t>programmes</w:t>
      </w:r>
      <w:proofErr w:type="spellEnd"/>
      <w:r w:rsidRPr="00353F2F">
        <w:rPr>
          <w:rFonts w:ascii="Times New Roman" w:hAnsi="Times New Roman" w:cs="Times New Roman"/>
          <w:sz w:val="24"/>
          <w:szCs w:val="24"/>
        </w:rPr>
        <w:t xml:space="preserve"> and assisting with the development of governance regulatory frameworks aligned with international best practice. </w:t>
      </w:r>
    </w:p>
    <w:p w14:paraId="47C6ADFD" w14:textId="77777777" w:rsidR="00AB7F86" w:rsidRPr="00353F2F" w:rsidRDefault="00AB7F86" w:rsidP="00353F2F">
      <w:pPr>
        <w:pStyle w:val="Heading2"/>
        <w:spacing w:line="480" w:lineRule="auto"/>
        <w:rPr>
          <w:sz w:val="24"/>
          <w:szCs w:val="24"/>
        </w:rPr>
      </w:pPr>
      <w:r w:rsidRPr="00353F2F">
        <w:rPr>
          <w:sz w:val="24"/>
          <w:szCs w:val="24"/>
        </w:rPr>
        <w:t>3.3.3 International Finance Corporation (IFC) Performance Standards</w:t>
      </w:r>
    </w:p>
    <w:p w14:paraId="2C0D9615"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IFC’s Environmental and Social Performance Standards, most recently updated in 2012, represent the most comprehensive and operationally detailed set of environmental, social, and governance standards applicable to private sector project finance in developing countries.</w:t>
      </w:r>
      <w:r w:rsidRPr="00353F2F">
        <w:rPr>
          <w:rStyle w:val="FootnoteReference"/>
          <w:rFonts w:ascii="Times New Roman" w:hAnsi="Times New Roman" w:cs="Times New Roman"/>
          <w:sz w:val="24"/>
          <w:szCs w:val="24"/>
        </w:rPr>
        <w:footnoteReference w:id="309"/>
      </w:r>
      <w:r w:rsidRPr="00353F2F">
        <w:rPr>
          <w:rFonts w:ascii="Times New Roman" w:hAnsi="Times New Roman" w:cs="Times New Roman"/>
          <w:sz w:val="24"/>
          <w:szCs w:val="24"/>
        </w:rPr>
        <w:t xml:space="preserve"> The Performance Standards establish eight substantive governance obligations: assessment and management of environmental and social risks and impacts; </w:t>
      </w:r>
      <w:proofErr w:type="spellStart"/>
      <w:r w:rsidRPr="00353F2F">
        <w:rPr>
          <w:rFonts w:ascii="Times New Roman" w:hAnsi="Times New Roman" w:cs="Times New Roman"/>
          <w:sz w:val="24"/>
          <w:szCs w:val="24"/>
        </w:rPr>
        <w:t>labour</w:t>
      </w:r>
      <w:proofErr w:type="spellEnd"/>
      <w:r w:rsidRPr="00353F2F">
        <w:rPr>
          <w:rFonts w:ascii="Times New Roman" w:hAnsi="Times New Roman" w:cs="Times New Roman"/>
          <w:sz w:val="24"/>
          <w:szCs w:val="24"/>
        </w:rPr>
        <w:t xml:space="preserve"> and working conditions; resource efficiency and pollution prevention; community health, safety and security; land </w:t>
      </w:r>
      <w:r w:rsidRPr="00353F2F">
        <w:rPr>
          <w:rFonts w:ascii="Times New Roman" w:hAnsi="Times New Roman" w:cs="Times New Roman"/>
          <w:sz w:val="24"/>
          <w:szCs w:val="24"/>
        </w:rPr>
        <w:lastRenderedPageBreak/>
        <w:t>acquisition and involuntary resettlement; biodiversity conservation and sustainable management of living natural resources; indigenous peoples; and cultural heritage.</w:t>
      </w:r>
      <w:r w:rsidRPr="00353F2F">
        <w:rPr>
          <w:rStyle w:val="FootnoteReference"/>
          <w:rFonts w:ascii="Times New Roman" w:hAnsi="Times New Roman" w:cs="Times New Roman"/>
          <w:sz w:val="24"/>
          <w:szCs w:val="24"/>
        </w:rPr>
        <w:footnoteReference w:id="310"/>
      </w:r>
      <w:r w:rsidRPr="00353F2F">
        <w:rPr>
          <w:rFonts w:ascii="Times New Roman" w:hAnsi="Times New Roman" w:cs="Times New Roman"/>
          <w:sz w:val="24"/>
          <w:szCs w:val="24"/>
        </w:rPr>
        <w:t xml:space="preserve"> These standards, which have been adopted by the World Bank Group as the applicable environmental and social governance framework for all IFC-financed private sector transactions, represent a comprehensive operationalization of the stakeholder theory of corporate governance, requiring project companies to identify, engage with, and protect the interests of all parties affected by their activities.</w:t>
      </w:r>
    </w:p>
    <w:p w14:paraId="20436EE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IFC Performance Standards’ requirement for a comprehensive environmental and social impact assessment, identifying the significant environmental and social impacts of the project and proposing management plans for their mitigation, is particularly significant for Nigerian project finance, where the environmental and social risks of major infrastructure projects in ecologically sensitive and densely populated regions are substantial and must be addressed in the project governance framework.</w:t>
      </w:r>
      <w:r w:rsidRPr="00353F2F">
        <w:rPr>
          <w:rStyle w:val="FootnoteReference"/>
          <w:rFonts w:ascii="Times New Roman" w:hAnsi="Times New Roman" w:cs="Times New Roman"/>
          <w:sz w:val="24"/>
          <w:szCs w:val="24"/>
        </w:rPr>
        <w:footnoteReference w:id="311"/>
      </w:r>
      <w:r w:rsidRPr="00353F2F">
        <w:rPr>
          <w:rFonts w:ascii="Times New Roman" w:hAnsi="Times New Roman" w:cs="Times New Roman"/>
          <w:sz w:val="24"/>
          <w:szCs w:val="24"/>
        </w:rPr>
        <w:t xml:space="preserve"> Performance Standard 6, which addresses biodiversity conservation and the management of living natural resources, is especially relevant for Nigerian project finance transactions in the oil and gas sector and in the Niger Delta region, where the biodiversity impacts of petroleum operations have historically generated significant governance and reputational risks for project sponsors and lenders.</w:t>
      </w:r>
      <w:r w:rsidRPr="00353F2F">
        <w:rPr>
          <w:rStyle w:val="FootnoteReference"/>
          <w:rFonts w:ascii="Times New Roman" w:hAnsi="Times New Roman" w:cs="Times New Roman"/>
          <w:sz w:val="24"/>
          <w:szCs w:val="24"/>
        </w:rPr>
        <w:footnoteReference w:id="312"/>
      </w:r>
      <w:r w:rsidRPr="00353F2F">
        <w:rPr>
          <w:rFonts w:ascii="Times New Roman" w:hAnsi="Times New Roman" w:cs="Times New Roman"/>
          <w:sz w:val="24"/>
          <w:szCs w:val="24"/>
        </w:rPr>
        <w:t xml:space="preserve"> The Equator Principles, which adopt the IFC Performance Standards as their environmental and social governance benchmark for project finance transactions above specified thresholds, serve as the primary channel through which the IFC standards are extended to commercial project finance lenders who are not directly affiliated with the IFC.</w:t>
      </w:r>
      <w:r w:rsidRPr="00353F2F">
        <w:rPr>
          <w:rStyle w:val="FootnoteReference"/>
          <w:rFonts w:ascii="Times New Roman" w:hAnsi="Times New Roman" w:cs="Times New Roman"/>
          <w:sz w:val="24"/>
          <w:szCs w:val="24"/>
        </w:rPr>
        <w:footnoteReference w:id="313"/>
      </w:r>
      <w:r w:rsidRPr="00353F2F">
        <w:rPr>
          <w:rFonts w:ascii="Times New Roman" w:hAnsi="Times New Roman" w:cs="Times New Roman"/>
          <w:sz w:val="24"/>
          <w:szCs w:val="24"/>
        </w:rPr>
        <w:t xml:space="preserve"> </w:t>
      </w:r>
    </w:p>
    <w:p w14:paraId="56038F5B" w14:textId="77777777" w:rsidR="00AB7F86" w:rsidRPr="00353F2F" w:rsidRDefault="00AB7F86" w:rsidP="00353F2F">
      <w:pPr>
        <w:pStyle w:val="Heading2"/>
        <w:spacing w:line="480" w:lineRule="auto"/>
        <w:rPr>
          <w:sz w:val="24"/>
          <w:szCs w:val="24"/>
        </w:rPr>
      </w:pPr>
      <w:r w:rsidRPr="00353F2F">
        <w:rPr>
          <w:sz w:val="24"/>
          <w:szCs w:val="24"/>
        </w:rPr>
        <w:lastRenderedPageBreak/>
        <w:t>3.3.4 Basel Banking Risk Management Standards</w:t>
      </w:r>
    </w:p>
    <w:p w14:paraId="619F694D"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Basel Committee on Banking Supervision’s risk management and governance standards, the Basel Accord framework, comprising Basel I, Basel II, and the current Basel III framework, establish the international standards for bank capital adequacy, risk management, and governance that apply to banks in Basel Committee member countries and that have been adopted, with adaptations, by the CBN as the applicable prudential standards for Nigerian banks.</w:t>
      </w:r>
      <w:r w:rsidRPr="00353F2F">
        <w:rPr>
          <w:rStyle w:val="FootnoteReference"/>
          <w:rFonts w:ascii="Times New Roman" w:hAnsi="Times New Roman" w:cs="Times New Roman"/>
          <w:sz w:val="24"/>
          <w:szCs w:val="24"/>
        </w:rPr>
        <w:footnoteReference w:id="314"/>
      </w:r>
      <w:r w:rsidRPr="00353F2F">
        <w:rPr>
          <w:rFonts w:ascii="Times New Roman" w:hAnsi="Times New Roman" w:cs="Times New Roman"/>
          <w:sz w:val="24"/>
          <w:szCs w:val="24"/>
        </w:rPr>
        <w:t xml:space="preserve"> Basel III, issued in response to the governance and risk management failures revealed by the global financial crisis of 2008, strengthened the governance and risk management requirements applicable to banks, introducing enhanced requirements for capital quality and quantity, improved liquidity management standards, and a leverage ratio requirement designed to constrain the excessive balance sheet growth that contributed to the financial crisis.</w:t>
      </w:r>
      <w:r w:rsidRPr="00353F2F">
        <w:rPr>
          <w:rStyle w:val="FootnoteReference"/>
          <w:rFonts w:ascii="Times New Roman" w:hAnsi="Times New Roman" w:cs="Times New Roman"/>
          <w:sz w:val="24"/>
          <w:szCs w:val="24"/>
        </w:rPr>
        <w:footnoteReference w:id="315"/>
      </w:r>
      <w:r w:rsidRPr="00353F2F">
        <w:rPr>
          <w:rFonts w:ascii="Times New Roman" w:hAnsi="Times New Roman" w:cs="Times New Roman"/>
          <w:sz w:val="24"/>
          <w:szCs w:val="24"/>
        </w:rPr>
        <w:t xml:space="preserve"> These enhanced capital and risk management requirements have direct implications for Nigerian project finance lenders, constraining the size and tenor of project finance exposures that Nigerian banks can assume and creating incentives for the development of risk distribution and capital relief strategies that affect the governance architecture of project finance syndicates.</w:t>
      </w:r>
    </w:p>
    <w:p w14:paraId="3B97A79C"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Basel III’s governance requirements, which supplement the technical capital and liquidity standards with enhanced requirements for risk governance, including the independence of risk management functions, the qualifications of risk management personnel, and the role of the board in setting and monitoring risk appetite, have been incorporated into the CBN’s risk-based supervision framework and the CBN Code of Corporate Governance for Banks.</w:t>
      </w:r>
      <w:r w:rsidRPr="00353F2F">
        <w:rPr>
          <w:rStyle w:val="FootnoteReference"/>
          <w:rFonts w:ascii="Times New Roman" w:hAnsi="Times New Roman" w:cs="Times New Roman"/>
          <w:sz w:val="24"/>
          <w:szCs w:val="24"/>
        </w:rPr>
        <w:footnoteReference w:id="316"/>
      </w:r>
      <w:r w:rsidRPr="00353F2F">
        <w:rPr>
          <w:rFonts w:ascii="Times New Roman" w:hAnsi="Times New Roman" w:cs="Times New Roman"/>
          <w:sz w:val="24"/>
          <w:szCs w:val="24"/>
        </w:rPr>
        <w:t xml:space="preserve"> The Basel </w:t>
      </w:r>
      <w:r w:rsidRPr="00353F2F">
        <w:rPr>
          <w:rFonts w:ascii="Times New Roman" w:hAnsi="Times New Roman" w:cs="Times New Roman"/>
          <w:sz w:val="24"/>
          <w:szCs w:val="24"/>
        </w:rPr>
        <w:lastRenderedPageBreak/>
        <w:t>Committee’s separate paper on compliance and the compliance function in banks establishes minimum standards for the design and operation of compliance functions in banks, including requirements for the independence, qualifications, and resources of the compliance function, the scope of compliance risk assessment, and the board’s role in overseeing compliance.</w:t>
      </w:r>
      <w:r w:rsidRPr="00353F2F">
        <w:rPr>
          <w:rStyle w:val="FootnoteReference"/>
          <w:rFonts w:ascii="Times New Roman" w:hAnsi="Times New Roman" w:cs="Times New Roman"/>
          <w:sz w:val="24"/>
          <w:szCs w:val="24"/>
        </w:rPr>
        <w:footnoteReference w:id="317"/>
      </w:r>
      <w:r w:rsidRPr="00353F2F">
        <w:rPr>
          <w:rFonts w:ascii="Times New Roman" w:hAnsi="Times New Roman" w:cs="Times New Roman"/>
          <w:sz w:val="24"/>
          <w:szCs w:val="24"/>
        </w:rPr>
        <w:t xml:space="preserve"> These compliance governance requirements, adopted by the CBN through its regulatory guidelines on compliance, establish a framework for the management of compliance risk in Nigerian banks that directly affects their capacity to engage in project finance transactions involving complex multi-jurisdictional regulatory environments.</w:t>
      </w:r>
      <w:r w:rsidRPr="00353F2F">
        <w:rPr>
          <w:rStyle w:val="FootnoteReference"/>
          <w:rFonts w:ascii="Times New Roman" w:hAnsi="Times New Roman" w:cs="Times New Roman"/>
          <w:sz w:val="24"/>
          <w:szCs w:val="24"/>
        </w:rPr>
        <w:footnoteReference w:id="318"/>
      </w:r>
      <w:r w:rsidRPr="00353F2F">
        <w:rPr>
          <w:rFonts w:ascii="Times New Roman" w:hAnsi="Times New Roman" w:cs="Times New Roman"/>
          <w:sz w:val="24"/>
          <w:szCs w:val="24"/>
        </w:rPr>
        <w:t xml:space="preserve"> </w:t>
      </w:r>
    </w:p>
    <w:p w14:paraId="4405D015"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3.3.5 Equator Principles for Project Finance</w:t>
      </w:r>
    </w:p>
    <w:p w14:paraId="2E0C894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Equator Principles, currently in their fourth edition adopted in 2020, represent the most influential voluntary governance framework for environmental, social, and governance risk management in project finance, having been adopted by over one hundred financial institutions in thirty-eight countries that collectively account for the majority of international project finance lending.</w:t>
      </w:r>
      <w:r w:rsidRPr="00353F2F">
        <w:rPr>
          <w:rStyle w:val="FootnoteReference"/>
          <w:rFonts w:ascii="Times New Roman" w:hAnsi="Times New Roman" w:cs="Times New Roman"/>
          <w:sz w:val="24"/>
          <w:szCs w:val="24"/>
        </w:rPr>
        <w:footnoteReference w:id="319"/>
      </w:r>
      <w:r w:rsidRPr="00353F2F">
        <w:rPr>
          <w:rFonts w:ascii="Times New Roman" w:hAnsi="Times New Roman" w:cs="Times New Roman"/>
          <w:sz w:val="24"/>
          <w:szCs w:val="24"/>
        </w:rPr>
        <w:t xml:space="preserve"> The Equator Principles establish a framework of governance conditions that project finance borrowers must satisfy as a prerequisite for receiving financing from Equator Principles signatory banks, effectively making compliance with internationally </w:t>
      </w:r>
      <w:proofErr w:type="spellStart"/>
      <w:r w:rsidRPr="00353F2F">
        <w:rPr>
          <w:rFonts w:ascii="Times New Roman" w:hAnsi="Times New Roman" w:cs="Times New Roman"/>
          <w:sz w:val="24"/>
          <w:szCs w:val="24"/>
        </w:rPr>
        <w:t>recognised</w:t>
      </w:r>
      <w:proofErr w:type="spellEnd"/>
      <w:r w:rsidRPr="00353F2F">
        <w:rPr>
          <w:rFonts w:ascii="Times New Roman" w:hAnsi="Times New Roman" w:cs="Times New Roman"/>
          <w:sz w:val="24"/>
          <w:szCs w:val="24"/>
        </w:rPr>
        <w:t xml:space="preserve"> ESG governance standards a market requirement for project finance transactions seeking to attract significant international debt capital.</w:t>
      </w:r>
      <w:r w:rsidRPr="00353F2F">
        <w:rPr>
          <w:rStyle w:val="FootnoteReference"/>
          <w:rFonts w:ascii="Times New Roman" w:hAnsi="Times New Roman" w:cs="Times New Roman"/>
          <w:sz w:val="24"/>
          <w:szCs w:val="24"/>
        </w:rPr>
        <w:footnoteReference w:id="320"/>
      </w:r>
      <w:r w:rsidRPr="00353F2F">
        <w:rPr>
          <w:rFonts w:ascii="Times New Roman" w:hAnsi="Times New Roman" w:cs="Times New Roman"/>
          <w:sz w:val="24"/>
          <w:szCs w:val="24"/>
        </w:rPr>
        <w:t xml:space="preserve"> For Nigerian project finance transactions above the threshold amounts specified in the Principles, currently USD 10 million for projects in Category A (with significant </w:t>
      </w:r>
      <w:r w:rsidRPr="00353F2F">
        <w:rPr>
          <w:rFonts w:ascii="Times New Roman" w:hAnsi="Times New Roman" w:cs="Times New Roman"/>
          <w:sz w:val="24"/>
          <w:szCs w:val="24"/>
        </w:rPr>
        <w:lastRenderedPageBreak/>
        <w:t>adverse environmental or social impacts), USD 10 million for Category B (limited impacts), and any amount for projects with significant adverse impacts to indigenous peoples or biodiversity, compliance with the Equator Principles framework is a practical prerequisite for international lending.</w:t>
      </w:r>
    </w:p>
    <w:p w14:paraId="31FA2B0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Equator Principles’ requirement for an independent environmental and social review of the borrower’s environmental and social assessment and management plan, conducted by a qualified independent environmental and social consultant retained by the lenders, provides an important third-party governance oversight mechanism that supplements the project company’s own governance systems.</w:t>
      </w:r>
      <w:r w:rsidRPr="00353F2F">
        <w:rPr>
          <w:rStyle w:val="FootnoteReference"/>
          <w:rFonts w:ascii="Times New Roman" w:hAnsi="Times New Roman" w:cs="Times New Roman"/>
          <w:sz w:val="24"/>
          <w:szCs w:val="24"/>
        </w:rPr>
        <w:footnoteReference w:id="321"/>
      </w:r>
      <w:r w:rsidRPr="00353F2F">
        <w:rPr>
          <w:rFonts w:ascii="Times New Roman" w:hAnsi="Times New Roman" w:cs="Times New Roman"/>
          <w:sz w:val="24"/>
          <w:szCs w:val="24"/>
        </w:rPr>
        <w:t xml:space="preserve"> The Principles’ requirement for the establishment of a grievance mechanism, a confidential and accessible channel through which project-affected communities can raise concerns and seek remediation, </w:t>
      </w:r>
      <w:proofErr w:type="spellStart"/>
      <w:r w:rsidRPr="00353F2F">
        <w:rPr>
          <w:rFonts w:ascii="Times New Roman" w:hAnsi="Times New Roman" w:cs="Times New Roman"/>
          <w:sz w:val="24"/>
          <w:szCs w:val="24"/>
        </w:rPr>
        <w:t>operationalises</w:t>
      </w:r>
      <w:proofErr w:type="spellEnd"/>
      <w:r w:rsidRPr="00353F2F">
        <w:rPr>
          <w:rFonts w:ascii="Times New Roman" w:hAnsi="Times New Roman" w:cs="Times New Roman"/>
          <w:sz w:val="24"/>
          <w:szCs w:val="24"/>
        </w:rPr>
        <w:t xml:space="preserve"> the stakeholder engagement obligations of project companies in a concrete and auditable governance framework.</w:t>
      </w:r>
      <w:r w:rsidRPr="00353F2F">
        <w:rPr>
          <w:rStyle w:val="FootnoteReference"/>
          <w:rFonts w:ascii="Times New Roman" w:hAnsi="Times New Roman" w:cs="Times New Roman"/>
          <w:sz w:val="24"/>
          <w:szCs w:val="24"/>
        </w:rPr>
        <w:footnoteReference w:id="322"/>
      </w:r>
      <w:r w:rsidRPr="00353F2F">
        <w:rPr>
          <w:rFonts w:ascii="Times New Roman" w:hAnsi="Times New Roman" w:cs="Times New Roman"/>
          <w:sz w:val="24"/>
          <w:szCs w:val="24"/>
        </w:rPr>
        <w:t xml:space="preserve"> The Principles’ ongoing monitoring and reporting requirements, including the appointment of an independent environmental and social monitor for Category A projects and the submission of annual environmental and social compliance reports to the lender syndicate, provide the continuous governance oversight that lenders require to maintain confidence in the project’s ESG performance throughout its operational life.</w:t>
      </w:r>
      <w:r w:rsidRPr="00353F2F">
        <w:rPr>
          <w:rStyle w:val="FootnoteReference"/>
          <w:rFonts w:ascii="Times New Roman" w:hAnsi="Times New Roman" w:cs="Times New Roman"/>
          <w:sz w:val="24"/>
          <w:szCs w:val="24"/>
        </w:rPr>
        <w:footnoteReference w:id="323"/>
      </w:r>
      <w:r w:rsidRPr="00353F2F">
        <w:rPr>
          <w:rFonts w:ascii="Times New Roman" w:hAnsi="Times New Roman" w:cs="Times New Roman"/>
          <w:sz w:val="24"/>
          <w:szCs w:val="24"/>
        </w:rPr>
        <w:t xml:space="preserve"> </w:t>
      </w:r>
    </w:p>
    <w:p w14:paraId="6550752A" w14:textId="77777777" w:rsidR="00AB7F86" w:rsidRPr="00353F2F" w:rsidRDefault="00AB7F86" w:rsidP="00353F2F">
      <w:pPr>
        <w:spacing w:before="180" w:after="18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3.4 GOVERNANCE STRUCTURES IN PROJECT FINANCE TRANSACTIONS</w:t>
      </w:r>
    </w:p>
    <w:p w14:paraId="5AABC81D" w14:textId="77777777" w:rsidR="00AB7F86" w:rsidRPr="00353F2F" w:rsidRDefault="00AB7F86" w:rsidP="00353F2F">
      <w:pPr>
        <w:spacing w:before="180" w:after="180"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3.4.1 Special Purpose Vehicles</w:t>
      </w:r>
    </w:p>
    <w:p w14:paraId="0B28E40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 xml:space="preserve">The special purpose vehicle is the fundamental institutional building block of project finance governance, serving simultaneously as the legal entity through which project assets are owned and project contracts are concluded, the financial entity through which project debt is raised and project revenues are received and distributed, and the governance entity within which the board-level oversight mechanisms that lenders require are </w:t>
      </w:r>
      <w:proofErr w:type="spellStart"/>
      <w:r w:rsidRPr="00353F2F">
        <w:rPr>
          <w:rFonts w:ascii="Times New Roman" w:hAnsi="Times New Roman" w:cs="Times New Roman"/>
          <w:sz w:val="24"/>
          <w:szCs w:val="24"/>
        </w:rPr>
        <w:t>institutionalised</w:t>
      </w:r>
      <w:proofErr w:type="spellEnd"/>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324"/>
      </w:r>
      <w:r w:rsidRPr="00353F2F">
        <w:rPr>
          <w:rFonts w:ascii="Times New Roman" w:hAnsi="Times New Roman" w:cs="Times New Roman"/>
          <w:sz w:val="24"/>
          <w:szCs w:val="24"/>
        </w:rPr>
        <w:t xml:space="preserve"> SPV is described as an entity purposely created for a specific project, typically with limited operational scope defined by its constitutional documents, a capital structure designed to match the financial requirements of the project, and governance arrangements specifically tailored to the risk management and monitoring requirements of the project finance lender syndicate.</w:t>
      </w:r>
      <w:r w:rsidRPr="00353F2F">
        <w:rPr>
          <w:rStyle w:val="FootnoteReference"/>
          <w:rFonts w:ascii="Times New Roman" w:hAnsi="Times New Roman" w:cs="Times New Roman"/>
          <w:sz w:val="24"/>
          <w:szCs w:val="24"/>
        </w:rPr>
        <w:footnoteReference w:id="325"/>
      </w:r>
      <w:r w:rsidRPr="00353F2F">
        <w:rPr>
          <w:rFonts w:ascii="Times New Roman" w:hAnsi="Times New Roman" w:cs="Times New Roman"/>
          <w:sz w:val="24"/>
          <w:szCs w:val="24"/>
        </w:rPr>
        <w:t xml:space="preserve"> The essential characteristics of the SPV as a project finance governance instrument, its single-purpose nature, its ring-fenced balance sheet, its contractually constrained management discretion, and its transparent and auditable financial structure, collectively create a governance environment that is significantly more controlled and lender-friendly than the governance environment of a general-purpose operating company.</w:t>
      </w:r>
    </w:p>
    <w:p w14:paraId="3AC135DD"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The governance significance of the SPV structure in the Nigerian project finance context is further reinforced by the provisions of the Companies and Allied Matters Act 2020, which governs the incorporation and administration of such vehicles. Section 402 of CAMA 2020 imposes duties on the directors of a company to prepare financial statements that give a true and fair view of the state of affairs of the company, a requirement of particular importance for project finance SPVs whose financial statements constitute the primary basis for lender covenant compliance monitoring.</w:t>
      </w:r>
      <w:r w:rsidRPr="00353F2F">
        <w:rPr>
          <w:rStyle w:val="FootnoteReference"/>
          <w:rFonts w:ascii="Times New Roman" w:hAnsi="Times New Roman" w:cs="Times New Roman"/>
          <w:sz w:val="24"/>
          <w:szCs w:val="24"/>
        </w:rPr>
        <w:footnoteReference w:id="326"/>
      </w:r>
      <w:r w:rsidRPr="00353F2F">
        <w:rPr>
          <w:rFonts w:ascii="Times New Roman" w:hAnsi="Times New Roman" w:cs="Times New Roman"/>
          <w:sz w:val="24"/>
          <w:szCs w:val="24"/>
        </w:rPr>
        <w:t xml:space="preserve"> Nigerian courts have affirmed the distinct legal personality of SPVs, holding in a series of commercial decisions that a company duly incorporated under the Companies Act is a legal entity </w:t>
      </w:r>
      <w:r w:rsidRPr="00353F2F">
        <w:rPr>
          <w:rFonts w:ascii="Times New Roman" w:hAnsi="Times New Roman" w:cs="Times New Roman"/>
          <w:sz w:val="24"/>
          <w:szCs w:val="24"/>
        </w:rPr>
        <w:lastRenderedPageBreak/>
        <w:t>separate and distinct from its members and enjoys independent legal rights and obligations, a principle that undergirds the ring-fencing function of the project finance SPV.</w:t>
      </w:r>
      <w:r w:rsidRPr="00353F2F">
        <w:rPr>
          <w:rStyle w:val="FootnoteReference"/>
          <w:rFonts w:ascii="Times New Roman" w:hAnsi="Times New Roman" w:cs="Times New Roman"/>
          <w:sz w:val="24"/>
          <w:szCs w:val="24"/>
        </w:rPr>
        <w:footnoteReference w:id="327"/>
      </w:r>
      <w:r w:rsidRPr="00353F2F">
        <w:rPr>
          <w:rFonts w:ascii="Times New Roman" w:hAnsi="Times New Roman" w:cs="Times New Roman"/>
          <w:sz w:val="24"/>
          <w:szCs w:val="24"/>
        </w:rPr>
        <w:t xml:space="preserve"> The SPV’s capacity to hold project assets, enter into project contracts, borrow funds, and grant security over its assets in its own name, independently of its sponsors, provides the foundational legal architecture upon which the entire project finance governance structure is built.</w:t>
      </w:r>
      <w:r w:rsidRPr="00353F2F">
        <w:rPr>
          <w:rStyle w:val="FootnoteReference"/>
          <w:rFonts w:ascii="Times New Roman" w:hAnsi="Times New Roman" w:cs="Times New Roman"/>
          <w:sz w:val="24"/>
          <w:szCs w:val="24"/>
        </w:rPr>
        <w:footnoteReference w:id="328"/>
      </w:r>
    </w:p>
    <w:p w14:paraId="213C3E26" w14:textId="77777777" w:rsidR="00AB7F86" w:rsidRPr="00353F2F" w:rsidRDefault="00AB7F86" w:rsidP="00353F2F">
      <w:p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3.4.2 Shareholder Governance Arrangements</w:t>
      </w:r>
    </w:p>
    <w:p w14:paraId="1F28E9A2" w14:textId="77777777" w:rsidR="00AB7F86" w:rsidRPr="00353F2F" w:rsidRDefault="00AB7F86"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governance relationship between the project company and its sponsors, </w:t>
      </w:r>
      <w:proofErr w:type="spellStart"/>
      <w:r w:rsidRPr="00353F2F">
        <w:rPr>
          <w:rFonts w:ascii="Times New Roman" w:hAnsi="Times New Roman" w:cs="Times New Roman"/>
          <w:sz w:val="24"/>
          <w:szCs w:val="24"/>
        </w:rPr>
        <w:t>institutionalised</w:t>
      </w:r>
      <w:proofErr w:type="spellEnd"/>
      <w:r w:rsidRPr="00353F2F">
        <w:rPr>
          <w:rFonts w:ascii="Times New Roman" w:hAnsi="Times New Roman" w:cs="Times New Roman"/>
          <w:sz w:val="24"/>
          <w:szCs w:val="24"/>
        </w:rPr>
        <w:t xml:space="preserve"> primarily through the shareholders’ agreement and the constitutional documents of the project company, constitutes the second principal governance dimension of project finance transactions, establishing the rights, obligations, and decision-making processes of the project sponsors in relation to the project company and providing the primary framework through which sponsors’ governance commitments to the project are made legally enforceable.</w:t>
      </w:r>
      <w:r w:rsidRPr="00353F2F">
        <w:rPr>
          <w:rStyle w:val="FootnoteReference"/>
          <w:rFonts w:ascii="Times New Roman" w:hAnsi="Times New Roman" w:cs="Times New Roman"/>
          <w:sz w:val="24"/>
          <w:szCs w:val="24"/>
        </w:rPr>
        <w:footnoteReference w:id="329"/>
      </w:r>
      <w:r w:rsidRPr="00353F2F">
        <w:rPr>
          <w:rFonts w:ascii="Times New Roman" w:hAnsi="Times New Roman" w:cs="Times New Roman"/>
          <w:sz w:val="24"/>
          <w:szCs w:val="24"/>
        </w:rPr>
        <w:t xml:space="preserve"> The shareholders’ agreement in a project finance transaction is typically a more detailed and restrictive governance instrument than in ordinary commercial joint ventures, reflecting the lenders’ requirement that the governance of the project company be managed in accordance with agreed principles throughout the life of the project debt, without the ability of sponsors to alter the fundamental governance framework without lender consent.</w:t>
      </w:r>
      <w:r w:rsidRPr="00353F2F">
        <w:rPr>
          <w:rStyle w:val="FootnoteReference"/>
          <w:rFonts w:ascii="Times New Roman" w:hAnsi="Times New Roman" w:cs="Times New Roman"/>
          <w:sz w:val="24"/>
          <w:szCs w:val="24"/>
        </w:rPr>
        <w:footnoteReference w:id="330"/>
      </w:r>
      <w:r w:rsidRPr="00353F2F">
        <w:rPr>
          <w:rFonts w:ascii="Times New Roman" w:hAnsi="Times New Roman" w:cs="Times New Roman"/>
          <w:sz w:val="24"/>
          <w:szCs w:val="24"/>
        </w:rPr>
        <w:t xml:space="preserve"> </w:t>
      </w:r>
    </w:p>
    <w:p w14:paraId="7F97BDA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shareholders’ agreement’s provisions on reserved matters, those corporate decisions that require unanimous or supermajority shareholder approval, are particularly important governance </w:t>
      </w:r>
      <w:r w:rsidRPr="00353F2F">
        <w:rPr>
          <w:rFonts w:ascii="Times New Roman" w:hAnsi="Times New Roman" w:cs="Times New Roman"/>
          <w:sz w:val="24"/>
          <w:szCs w:val="24"/>
        </w:rPr>
        <w:lastRenderedPageBreak/>
        <w:t>tools, preventing any single sponsor from using its majority voting power to impose governance changes that would adversely affect the interests of minority sponsors or project lenders.</w:t>
      </w:r>
      <w:r w:rsidRPr="00353F2F">
        <w:rPr>
          <w:rStyle w:val="FootnoteReference"/>
          <w:rFonts w:ascii="Times New Roman" w:hAnsi="Times New Roman" w:cs="Times New Roman"/>
          <w:sz w:val="24"/>
          <w:szCs w:val="24"/>
        </w:rPr>
        <w:footnoteReference w:id="331"/>
      </w:r>
      <w:r w:rsidRPr="00353F2F">
        <w:rPr>
          <w:rFonts w:ascii="Times New Roman" w:hAnsi="Times New Roman" w:cs="Times New Roman"/>
          <w:sz w:val="24"/>
          <w:szCs w:val="24"/>
        </w:rPr>
        <w:t xml:space="preserve"> Reserved matters typically include amendments to the constitutional documents of the project company, the approval of the annual business plan and budget, the incurrence of debt beyond agreed thresholds, the conclusion of material contracts with related parties, and changes to the project’s insurance </w:t>
      </w:r>
      <w:proofErr w:type="spellStart"/>
      <w:r w:rsidRPr="00353F2F">
        <w:rPr>
          <w:rFonts w:ascii="Times New Roman" w:hAnsi="Times New Roman" w:cs="Times New Roman"/>
          <w:sz w:val="24"/>
          <w:szCs w:val="24"/>
        </w:rPr>
        <w:t>programme</w:t>
      </w:r>
      <w:proofErr w:type="spellEnd"/>
      <w:r w:rsidRPr="00353F2F">
        <w:rPr>
          <w:rFonts w:ascii="Times New Roman" w:hAnsi="Times New Roman" w:cs="Times New Roman"/>
          <w:sz w:val="24"/>
          <w:szCs w:val="24"/>
        </w:rPr>
        <w:t>, all of which represent governance decisions with direct implications for project creditworthiness and lender interests.</w:t>
      </w:r>
      <w:r w:rsidRPr="00353F2F">
        <w:rPr>
          <w:rStyle w:val="FootnoteReference"/>
          <w:rFonts w:ascii="Times New Roman" w:hAnsi="Times New Roman" w:cs="Times New Roman"/>
          <w:sz w:val="24"/>
          <w:szCs w:val="24"/>
        </w:rPr>
        <w:footnoteReference w:id="332"/>
      </w:r>
      <w:r w:rsidRPr="00353F2F">
        <w:rPr>
          <w:rFonts w:ascii="Times New Roman" w:hAnsi="Times New Roman" w:cs="Times New Roman"/>
          <w:sz w:val="24"/>
          <w:szCs w:val="24"/>
        </w:rPr>
        <w:t xml:space="preserve"> Hoffman observes that the shareholders’ agreement provisions on pre-emption rights, giving existing sponsors the right of first refusal on any proposed transfer of shares by a fellow sponsor, serve a governance function by ensuring that the identity and governance credentials of project sponsors cannot be changed without the consent of remaining sponsors, protecting the integrity of the project’s governance structure against the introduction of sponsors whose governance standards fall below the level expected by lenders.</w:t>
      </w:r>
      <w:r w:rsidRPr="00353F2F">
        <w:rPr>
          <w:rStyle w:val="FootnoteReference"/>
          <w:rFonts w:ascii="Times New Roman" w:hAnsi="Times New Roman" w:cs="Times New Roman"/>
          <w:sz w:val="24"/>
          <w:szCs w:val="24"/>
        </w:rPr>
        <w:footnoteReference w:id="333"/>
      </w:r>
      <w:r w:rsidRPr="00353F2F">
        <w:rPr>
          <w:rFonts w:ascii="Times New Roman" w:hAnsi="Times New Roman" w:cs="Times New Roman"/>
          <w:sz w:val="24"/>
          <w:szCs w:val="24"/>
        </w:rPr>
        <w:t xml:space="preserve"> </w:t>
      </w:r>
    </w:p>
    <w:p w14:paraId="7B5456CF"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governance significance of shareholders’ agreements in Nigerian project finance transactions has been confirmed by the judiciary. In SPDC v </w:t>
      </w:r>
      <w:proofErr w:type="spellStart"/>
      <w:r w:rsidRPr="00353F2F">
        <w:rPr>
          <w:rFonts w:ascii="Times New Roman" w:hAnsi="Times New Roman" w:cs="Times New Roman"/>
          <w:sz w:val="24"/>
          <w:szCs w:val="24"/>
        </w:rPr>
        <w:t>Ovuakporie</w:t>
      </w:r>
      <w:proofErr w:type="spellEnd"/>
      <w:r w:rsidRPr="00353F2F">
        <w:rPr>
          <w:rFonts w:ascii="Times New Roman" w:hAnsi="Times New Roman" w:cs="Times New Roman"/>
          <w:sz w:val="24"/>
          <w:szCs w:val="24"/>
        </w:rPr>
        <w:t xml:space="preserve"> (2004) 4 NWLR (Pt 862) 187, the Court of Appeal affirmed the enforceability of contractual governance arrangements between co-</w:t>
      </w:r>
      <w:proofErr w:type="spellStart"/>
      <w:r w:rsidRPr="00353F2F">
        <w:rPr>
          <w:rFonts w:ascii="Times New Roman" w:hAnsi="Times New Roman" w:cs="Times New Roman"/>
          <w:sz w:val="24"/>
          <w:szCs w:val="24"/>
        </w:rPr>
        <w:t>venturers</w:t>
      </w:r>
      <w:proofErr w:type="spellEnd"/>
      <w:r w:rsidRPr="00353F2F">
        <w:rPr>
          <w:rFonts w:ascii="Times New Roman" w:hAnsi="Times New Roman" w:cs="Times New Roman"/>
          <w:sz w:val="24"/>
          <w:szCs w:val="24"/>
        </w:rPr>
        <w:t xml:space="preserve">, holding that clearly drafted agreement terms governing the management and governance of a joint venture entity would be given full contractual effect, a principle that supports the enforceability of the governance provisions typically found in project finance shareholders’ </w:t>
      </w:r>
      <w:r w:rsidRPr="00353F2F">
        <w:rPr>
          <w:rFonts w:ascii="Times New Roman" w:hAnsi="Times New Roman" w:cs="Times New Roman"/>
          <w:sz w:val="24"/>
          <w:szCs w:val="24"/>
        </w:rPr>
        <w:lastRenderedPageBreak/>
        <w:t>agreements.</w:t>
      </w:r>
      <w:r w:rsidRPr="00353F2F">
        <w:rPr>
          <w:rStyle w:val="FootnoteReference"/>
          <w:rFonts w:ascii="Times New Roman" w:hAnsi="Times New Roman" w:cs="Times New Roman"/>
          <w:sz w:val="24"/>
          <w:szCs w:val="24"/>
        </w:rPr>
        <w:footnoteReference w:id="334"/>
      </w:r>
      <w:r w:rsidRPr="00353F2F">
        <w:rPr>
          <w:rFonts w:ascii="Times New Roman" w:hAnsi="Times New Roman" w:cs="Times New Roman"/>
          <w:sz w:val="24"/>
          <w:szCs w:val="24"/>
        </w:rPr>
        <w:t xml:space="preserve"> The reserved matters provisions in a project company’s shareholders’ agreement constitute a contractual governance safeguard of particular importance in the Nigerian context, where the risk of majority sponsor capture, the use of majority voting power to divert project resources to the benefit of one sponsor at the expense of others, is a </w:t>
      </w:r>
      <w:proofErr w:type="spellStart"/>
      <w:r w:rsidRPr="00353F2F">
        <w:rPr>
          <w:rFonts w:ascii="Times New Roman" w:hAnsi="Times New Roman" w:cs="Times New Roman"/>
          <w:sz w:val="24"/>
          <w:szCs w:val="24"/>
        </w:rPr>
        <w:t>recognised</w:t>
      </w:r>
      <w:proofErr w:type="spellEnd"/>
      <w:r w:rsidRPr="00353F2F">
        <w:rPr>
          <w:rFonts w:ascii="Times New Roman" w:hAnsi="Times New Roman" w:cs="Times New Roman"/>
          <w:sz w:val="24"/>
          <w:szCs w:val="24"/>
        </w:rPr>
        <w:t xml:space="preserve"> governance risk in multi-sponsor project finance structures.</w:t>
      </w:r>
      <w:r w:rsidRPr="00353F2F">
        <w:rPr>
          <w:rStyle w:val="FootnoteReference"/>
          <w:rFonts w:ascii="Times New Roman" w:hAnsi="Times New Roman" w:cs="Times New Roman"/>
          <w:sz w:val="24"/>
          <w:szCs w:val="24"/>
        </w:rPr>
        <w:footnoteReference w:id="335"/>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Delmon</w:t>
      </w:r>
      <w:proofErr w:type="spellEnd"/>
      <w:r w:rsidRPr="00353F2F">
        <w:rPr>
          <w:rFonts w:ascii="Times New Roman" w:hAnsi="Times New Roman" w:cs="Times New Roman"/>
          <w:sz w:val="24"/>
          <w:szCs w:val="24"/>
        </w:rPr>
        <w:t xml:space="preserve"> identifies the agreement of sponsors on reserved matters and decision-making thresholds as a critical governance mechanism for managing the inter-sponsor conflicts that inevitably arise over the lifecycle of a major infrastructure project, noting that the failure to adequately define reserved matters has been a significant source of governance disputes in project finance transactions in developing country markets.</w:t>
      </w:r>
      <w:r w:rsidRPr="00353F2F">
        <w:rPr>
          <w:rStyle w:val="FootnoteReference"/>
          <w:rFonts w:ascii="Times New Roman" w:hAnsi="Times New Roman" w:cs="Times New Roman"/>
          <w:sz w:val="24"/>
          <w:szCs w:val="24"/>
        </w:rPr>
        <w:footnoteReference w:id="336"/>
      </w:r>
    </w:p>
    <w:p w14:paraId="6D932F9E"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3.4.3 Board Structure and Oversight Mechanisms</w:t>
      </w:r>
    </w:p>
    <w:p w14:paraId="4296BA4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board of directors of the project company is the central governance institution of the project finance transaction, serving simultaneously as the principal decision-making authority of the project company, the primary lender oversight mechanism within the project governance structure, and the institutional nexus at which the governance obligations of sponsors, the monitoring requirements of lenders, and the performance obligations of project management converge.</w:t>
      </w:r>
      <w:r w:rsidRPr="00353F2F">
        <w:rPr>
          <w:rStyle w:val="FootnoteReference"/>
          <w:rFonts w:ascii="Times New Roman" w:hAnsi="Times New Roman" w:cs="Times New Roman"/>
          <w:sz w:val="24"/>
          <w:szCs w:val="24"/>
        </w:rPr>
        <w:footnoteReference w:id="337"/>
      </w:r>
      <w:r w:rsidRPr="00353F2F">
        <w:rPr>
          <w:rFonts w:ascii="Times New Roman" w:hAnsi="Times New Roman" w:cs="Times New Roman"/>
          <w:sz w:val="24"/>
          <w:szCs w:val="24"/>
        </w:rPr>
        <w:t xml:space="preserve">  The composition, expertise, and independence of the board as the most critical determinants of board governance effectiveness, and it is composed of directors with appropriate technical expertise, genuine independence from management, and clear understanding of their fiduciary obligations to all project stakeholders are most likely to exercise the rigorous oversight needed to manage project </w:t>
      </w:r>
      <w:r w:rsidRPr="00353F2F">
        <w:rPr>
          <w:rFonts w:ascii="Times New Roman" w:hAnsi="Times New Roman" w:cs="Times New Roman"/>
          <w:sz w:val="24"/>
          <w:szCs w:val="24"/>
        </w:rPr>
        <w:lastRenderedPageBreak/>
        <w:t>risks and maintain project performance.</w:t>
      </w:r>
      <w:r w:rsidRPr="00353F2F">
        <w:rPr>
          <w:rStyle w:val="FootnoteReference"/>
          <w:rFonts w:ascii="Times New Roman" w:hAnsi="Times New Roman" w:cs="Times New Roman"/>
          <w:sz w:val="24"/>
          <w:szCs w:val="24"/>
        </w:rPr>
        <w:footnoteReference w:id="338"/>
      </w:r>
      <w:r w:rsidRPr="00353F2F">
        <w:rPr>
          <w:rFonts w:ascii="Times New Roman" w:hAnsi="Times New Roman" w:cs="Times New Roman"/>
          <w:sz w:val="24"/>
          <w:szCs w:val="24"/>
        </w:rPr>
        <w:t xml:space="preserve"> Project finance boards typically reflect these governance requirements through a carefully designed composition that includes representatives of each project sponsor (providing strategic oversight and shareholder accountability), nominee directors appointed by the lender syndicate (providing governance monitoring on behalf of lenders), and independent directors with relevant technical expertise (providing governance objectivity and professional legitimacy).</w:t>
      </w:r>
      <w:r w:rsidRPr="00353F2F">
        <w:rPr>
          <w:rStyle w:val="FootnoteReference"/>
          <w:rFonts w:ascii="Times New Roman" w:hAnsi="Times New Roman" w:cs="Times New Roman"/>
          <w:sz w:val="24"/>
          <w:szCs w:val="24"/>
        </w:rPr>
        <w:footnoteReference w:id="339"/>
      </w:r>
    </w:p>
    <w:p w14:paraId="2B76308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NCCG 2018 establishes specific governance requirements for board composition, including minimum ratios of non-executive directors, requirements for board independence, and qualifications standards for directors, that apply to Nigerian project companies subject to the Code.</w:t>
      </w:r>
      <w:r w:rsidRPr="00353F2F">
        <w:rPr>
          <w:rStyle w:val="FootnoteReference"/>
          <w:rFonts w:ascii="Times New Roman" w:hAnsi="Times New Roman" w:cs="Times New Roman"/>
          <w:sz w:val="24"/>
          <w:szCs w:val="24"/>
        </w:rPr>
        <w:footnoteReference w:id="340"/>
      </w:r>
      <w:r w:rsidRPr="00353F2F">
        <w:rPr>
          <w:rFonts w:ascii="Times New Roman" w:hAnsi="Times New Roman" w:cs="Times New Roman"/>
          <w:sz w:val="24"/>
          <w:szCs w:val="24"/>
        </w:rPr>
        <w:t xml:space="preserve"> CAMA 2020 imposes statutory duties on all directors, including the duty of care, skill, and diligence and the duty to avoid conflicts of interest, that provide the legal framework within which lender nominee directors exercise their monitoring function.</w:t>
      </w:r>
      <w:r w:rsidRPr="00353F2F">
        <w:rPr>
          <w:rStyle w:val="FootnoteReference"/>
          <w:rFonts w:ascii="Times New Roman" w:hAnsi="Times New Roman" w:cs="Times New Roman"/>
          <w:sz w:val="24"/>
          <w:szCs w:val="24"/>
        </w:rPr>
        <w:footnoteReference w:id="341"/>
      </w:r>
      <w:r w:rsidRPr="00353F2F">
        <w:rPr>
          <w:rFonts w:ascii="Times New Roman" w:hAnsi="Times New Roman" w:cs="Times New Roman"/>
          <w:sz w:val="24"/>
          <w:szCs w:val="24"/>
        </w:rPr>
        <w:t xml:space="preserve"> </w:t>
      </w:r>
    </w:p>
    <w:p w14:paraId="703198D7"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practical implementation of board governance arrangements in Nigerian project companies is further shaped by the provisions of CAMA 2020 on directors’ meetings, decision-making, and disclosure of interests. Section 288 of CAMA 2020 requires directors to declare any personal interest in a contract or proposed contract with the company and to refrain from voting on any resolution in which they have a material personal interest, a disclosure obligation of particular significance for project company boards where related-party transactions between the project </w:t>
      </w:r>
      <w:r w:rsidRPr="00353F2F">
        <w:rPr>
          <w:rFonts w:ascii="Times New Roman" w:hAnsi="Times New Roman" w:cs="Times New Roman"/>
          <w:sz w:val="24"/>
          <w:szCs w:val="24"/>
        </w:rPr>
        <w:lastRenderedPageBreak/>
        <w:t>company and its sponsors are frequent and potentially conflict-laden.</w:t>
      </w:r>
      <w:r w:rsidRPr="00353F2F">
        <w:rPr>
          <w:rStyle w:val="FootnoteReference"/>
          <w:rFonts w:ascii="Times New Roman" w:hAnsi="Times New Roman" w:cs="Times New Roman"/>
          <w:sz w:val="24"/>
          <w:szCs w:val="24"/>
        </w:rPr>
        <w:footnoteReference w:id="342"/>
      </w:r>
      <w:r w:rsidRPr="00353F2F">
        <w:rPr>
          <w:rFonts w:ascii="Times New Roman" w:hAnsi="Times New Roman" w:cs="Times New Roman"/>
          <w:sz w:val="24"/>
          <w:szCs w:val="24"/>
        </w:rPr>
        <w:t xml:space="preserve"> The obligations of lender-nominee directors merit specific analysis in the Nigerian context. Such directors owe fiduciary duties to the project company as a whole under CAMA 2020 and cannot lawfully prefer the interests of the nominating lender over those of the company, yet the practical expectation of nominating lenders is precisely that their nominees will exercise heightened scrutiny over project governance on their behalf.</w:t>
      </w:r>
      <w:r w:rsidRPr="00353F2F">
        <w:rPr>
          <w:rStyle w:val="FootnoteReference"/>
          <w:rFonts w:ascii="Times New Roman" w:hAnsi="Times New Roman" w:cs="Times New Roman"/>
          <w:sz w:val="24"/>
          <w:szCs w:val="24"/>
        </w:rPr>
        <w:footnoteReference w:id="343"/>
      </w:r>
      <w:r w:rsidRPr="00353F2F">
        <w:rPr>
          <w:rFonts w:ascii="Times New Roman" w:hAnsi="Times New Roman" w:cs="Times New Roman"/>
          <w:sz w:val="24"/>
          <w:szCs w:val="24"/>
        </w:rPr>
        <w:t xml:space="preserve"> This structural tension between legal duty and commercial expectation is a governance challenge that Nigerian project finance practitioners must navigate carefully to avoid exposing lender-nominees to liability for breach of fiduciary duty while simultaneously providing lenders with the governance oversight to which their financing commitments entitle them.</w:t>
      </w:r>
      <w:r w:rsidRPr="00353F2F">
        <w:rPr>
          <w:rStyle w:val="FootnoteReference"/>
          <w:rFonts w:ascii="Times New Roman" w:hAnsi="Times New Roman" w:cs="Times New Roman"/>
          <w:sz w:val="24"/>
          <w:szCs w:val="24"/>
        </w:rPr>
        <w:footnoteReference w:id="344"/>
      </w:r>
      <w:r w:rsidRPr="00353F2F">
        <w:rPr>
          <w:rFonts w:ascii="Times New Roman" w:hAnsi="Times New Roman" w:cs="Times New Roman"/>
          <w:sz w:val="24"/>
          <w:szCs w:val="24"/>
        </w:rPr>
        <w:t xml:space="preserve"> The board’s audit committee, constituted in accordance with Section 404 of CAMA 2020 and reinforced by the NCCG 2018 Principle 14, serves as the primary institutional mechanism for ensuring the integrity of financial reporting within the project company, reviewing the work of external auditors, and monitoring compliance with financial covenants, thereby providing the financial governance oversight that lenders require as a condition of project financing.</w:t>
      </w:r>
      <w:r w:rsidRPr="00353F2F">
        <w:rPr>
          <w:rStyle w:val="FootnoteReference"/>
          <w:rFonts w:ascii="Times New Roman" w:hAnsi="Times New Roman" w:cs="Times New Roman"/>
          <w:sz w:val="24"/>
          <w:szCs w:val="24"/>
        </w:rPr>
        <w:footnoteReference w:id="345"/>
      </w:r>
    </w:p>
    <w:p w14:paraId="39C16778" w14:textId="77777777" w:rsidR="00AB7F86" w:rsidRPr="00353F2F" w:rsidRDefault="00AB7F86" w:rsidP="00353F2F">
      <w:pPr>
        <w:spacing w:line="480" w:lineRule="auto"/>
        <w:jc w:val="both"/>
        <w:rPr>
          <w:rFonts w:ascii="Times New Roman" w:hAnsi="Times New Roman" w:cs="Times New Roman"/>
          <w:b/>
          <w:bCs/>
          <w:sz w:val="24"/>
          <w:szCs w:val="24"/>
        </w:rPr>
      </w:pPr>
      <w:r w:rsidRPr="00353F2F">
        <w:rPr>
          <w:rFonts w:ascii="Times New Roman" w:hAnsi="Times New Roman" w:cs="Times New Roman"/>
          <w:b/>
          <w:bCs/>
          <w:sz w:val="24"/>
          <w:szCs w:val="24"/>
        </w:rPr>
        <w:t>3.5 GOVERNANCE AND BANKABILITY ASSESSMENT IN PROJECT FINANCE</w:t>
      </w:r>
    </w:p>
    <w:p w14:paraId="4BAB27B5" w14:textId="77777777" w:rsidR="00AB7F86" w:rsidRPr="00353F2F" w:rsidRDefault="00AB7F86"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3.5.1 Governance Due Diligence by Lenders</w:t>
      </w:r>
    </w:p>
    <w:p w14:paraId="001F1EAE" w14:textId="77777777" w:rsidR="00AB7F86" w:rsidRPr="00353F2F" w:rsidRDefault="00AB7F86" w:rsidP="00353F2F">
      <w:pPr>
        <w:spacing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Governance due diligence is the systematic investigation conducted by project finance lenders, typically through a team of independent legal, financial, technical, environmental, social, and </w:t>
      </w:r>
      <w:r w:rsidRPr="00353F2F">
        <w:rPr>
          <w:rFonts w:ascii="Times New Roman" w:hAnsi="Times New Roman" w:cs="Times New Roman"/>
          <w:sz w:val="24"/>
          <w:szCs w:val="24"/>
        </w:rPr>
        <w:lastRenderedPageBreak/>
        <w:t>insurance advisers, to assess the governance quality, risk profile, and bankability of a proposed project finance transaction before committing to provide financing.</w:t>
      </w:r>
      <w:r w:rsidRPr="00353F2F">
        <w:rPr>
          <w:rStyle w:val="FootnoteReference"/>
          <w:rFonts w:ascii="Times New Roman" w:hAnsi="Times New Roman" w:cs="Times New Roman"/>
          <w:sz w:val="24"/>
          <w:szCs w:val="24"/>
        </w:rPr>
        <w:footnoteReference w:id="346"/>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Gatti</w:t>
      </w:r>
      <w:proofErr w:type="spellEnd"/>
      <w:r w:rsidRPr="00353F2F">
        <w:rPr>
          <w:rFonts w:ascii="Times New Roman" w:hAnsi="Times New Roman" w:cs="Times New Roman"/>
          <w:sz w:val="24"/>
          <w:szCs w:val="24"/>
        </w:rPr>
        <w:t xml:space="preserve"> describes governance due diligence as the process through which lenders obtain sufficient information and assurance about the project’s governance arrangements to make an informed lending decision, noting that the comprehensiveness and </w:t>
      </w:r>
      <w:proofErr w:type="spellStart"/>
      <w:r w:rsidRPr="00353F2F">
        <w:rPr>
          <w:rFonts w:ascii="Times New Roman" w:hAnsi="Times New Roman" w:cs="Times New Roman"/>
          <w:sz w:val="24"/>
          <w:szCs w:val="24"/>
        </w:rPr>
        <w:t>rigour</w:t>
      </w:r>
      <w:proofErr w:type="spellEnd"/>
      <w:r w:rsidRPr="00353F2F">
        <w:rPr>
          <w:rFonts w:ascii="Times New Roman" w:hAnsi="Times New Roman" w:cs="Times New Roman"/>
          <w:sz w:val="24"/>
          <w:szCs w:val="24"/>
        </w:rPr>
        <w:t xml:space="preserve"> of due diligence is directly proportional to the complexity, novelty, and risk profile of the proposed transaction.</w:t>
      </w:r>
      <w:r w:rsidRPr="00353F2F">
        <w:rPr>
          <w:rStyle w:val="FootnoteReference"/>
          <w:rFonts w:ascii="Times New Roman" w:hAnsi="Times New Roman" w:cs="Times New Roman"/>
          <w:sz w:val="24"/>
          <w:szCs w:val="24"/>
        </w:rPr>
        <w:footnoteReference w:id="347"/>
      </w:r>
      <w:r w:rsidRPr="00353F2F">
        <w:rPr>
          <w:rFonts w:ascii="Times New Roman" w:hAnsi="Times New Roman" w:cs="Times New Roman"/>
          <w:sz w:val="24"/>
          <w:szCs w:val="24"/>
        </w:rPr>
        <w:t xml:space="preserve"> In Nigerian project finance, governance due diligence typically encompasses legal due diligence on the project’s corporate, contractual, and regulatory framework; financial due diligence on the project’s financial model, accounting policies, and financial reporting systems; technical due diligence on the project’s engineering design, construction </w:t>
      </w:r>
      <w:proofErr w:type="spellStart"/>
      <w:r w:rsidRPr="00353F2F">
        <w:rPr>
          <w:rFonts w:ascii="Times New Roman" w:hAnsi="Times New Roman" w:cs="Times New Roman"/>
          <w:sz w:val="24"/>
          <w:szCs w:val="24"/>
        </w:rPr>
        <w:t>programme</w:t>
      </w:r>
      <w:proofErr w:type="spellEnd"/>
      <w:r w:rsidRPr="00353F2F">
        <w:rPr>
          <w:rFonts w:ascii="Times New Roman" w:hAnsi="Times New Roman" w:cs="Times New Roman"/>
          <w:sz w:val="24"/>
          <w:szCs w:val="24"/>
        </w:rPr>
        <w:t>, and operating assumptions; environmental and social due diligence on the project’s Equator Principles compliance; and management due diligence on the qualifications, experience, and governance track record of the project sponsors and management team.</w:t>
      </w:r>
    </w:p>
    <w:p w14:paraId="44E8971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legal due diligence component of governance assessment studies the adequacy of the project’s legal framework, including the corporate documents of the project company, the project contracts, the security documents, and the regulatory approvals, to support the governance arrangements required for bankability.</w:t>
      </w:r>
      <w:r w:rsidRPr="00353F2F">
        <w:rPr>
          <w:rStyle w:val="FootnoteReference"/>
          <w:rFonts w:ascii="Times New Roman" w:hAnsi="Times New Roman" w:cs="Times New Roman"/>
          <w:sz w:val="24"/>
          <w:szCs w:val="24"/>
        </w:rPr>
        <w:footnoteReference w:id="348"/>
      </w:r>
      <w:r w:rsidRPr="00353F2F">
        <w:rPr>
          <w:rFonts w:ascii="Times New Roman" w:hAnsi="Times New Roman" w:cs="Times New Roman"/>
          <w:sz w:val="24"/>
          <w:szCs w:val="24"/>
        </w:rPr>
        <w:t xml:space="preserve"> Legal due diligence on the project company specifically examines its constitutional documents for compliance with applicable company law and lender governance requirements; its share register and ownership structure for accuracy and compliance with applicable foreign investment and beneficial ownership disclosure requirements; its directors and </w:t>
      </w:r>
      <w:r w:rsidRPr="00353F2F">
        <w:rPr>
          <w:rFonts w:ascii="Times New Roman" w:hAnsi="Times New Roman" w:cs="Times New Roman"/>
          <w:sz w:val="24"/>
          <w:szCs w:val="24"/>
        </w:rPr>
        <w:lastRenderedPageBreak/>
        <w:t>officers for compliance with applicable qualification, experience, and fit-and-proper requirements; and its existing contractual arrangements for conflicts with proposed project finance documentation.</w:t>
      </w:r>
      <w:r w:rsidRPr="00353F2F">
        <w:rPr>
          <w:rStyle w:val="FootnoteReference"/>
          <w:rFonts w:ascii="Times New Roman" w:hAnsi="Times New Roman" w:cs="Times New Roman"/>
          <w:sz w:val="24"/>
          <w:szCs w:val="24"/>
        </w:rPr>
        <w:footnoteReference w:id="349"/>
      </w:r>
      <w:r w:rsidRPr="00353F2F">
        <w:rPr>
          <w:rFonts w:ascii="Times New Roman" w:hAnsi="Times New Roman" w:cs="Times New Roman"/>
          <w:sz w:val="24"/>
          <w:szCs w:val="24"/>
        </w:rPr>
        <w:t xml:space="preserve"> The Equator Principles require that lenders conduct an independent social and environmental assessment of the project as part of their due diligence, commissioning an independent environmental and social consultant to review the project’s environmental and social management framework against the IFC Performance Standards.</w:t>
      </w:r>
      <w:r w:rsidRPr="00353F2F">
        <w:rPr>
          <w:rStyle w:val="FootnoteReference"/>
          <w:rFonts w:ascii="Times New Roman" w:hAnsi="Times New Roman" w:cs="Times New Roman"/>
          <w:sz w:val="24"/>
          <w:szCs w:val="24"/>
        </w:rPr>
        <w:footnoteReference w:id="350"/>
      </w:r>
      <w:r w:rsidRPr="00353F2F">
        <w:rPr>
          <w:rFonts w:ascii="Times New Roman" w:hAnsi="Times New Roman" w:cs="Times New Roman"/>
          <w:sz w:val="24"/>
          <w:szCs w:val="24"/>
        </w:rPr>
        <w:t xml:space="preserve"> The IFC’s own due diligence methodology, which applies to all IFC-financed transactions, includes a specific assessment of the project company’s corporate governance arrangements, examining board composition, audit arrangements, financial reporting systems, and compliance management frameworks, as a distinct component of the overall credit and investment assessment process.</w:t>
      </w:r>
      <w:r w:rsidRPr="00353F2F">
        <w:rPr>
          <w:rStyle w:val="FootnoteReference"/>
          <w:rFonts w:ascii="Times New Roman" w:hAnsi="Times New Roman" w:cs="Times New Roman"/>
          <w:sz w:val="24"/>
          <w:szCs w:val="24"/>
        </w:rPr>
        <w:footnoteReference w:id="351"/>
      </w:r>
      <w:r w:rsidRPr="00353F2F">
        <w:rPr>
          <w:rFonts w:ascii="Times New Roman" w:hAnsi="Times New Roman" w:cs="Times New Roman"/>
          <w:sz w:val="24"/>
          <w:szCs w:val="24"/>
        </w:rPr>
        <w:t xml:space="preserve"> </w:t>
      </w:r>
    </w:p>
    <w:p w14:paraId="29F9D2DC"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The governance due diligence process in Nigerian project finance transactions must additionally address a number of Nigeria-specific governance risk factors that are not present or are less pronounced in more developed project finance markets. These include the risk of fraudulent or inaccurate corporate records in the CAC register, arising from deficiencies in the CAC’s data maintenance and verification processes; the risk of undisclosed beneficial ownership, mitigated but not eliminated by the CAMA 2020 register of significant controllers; the risk of regulatory non-compliance by project sponsors with applicable sector-specific licensing and governance requirements; and the risk of politically motivated interference in project governance, particularly in projects involving government counterparties.</w:t>
      </w:r>
      <w:r w:rsidRPr="00353F2F">
        <w:rPr>
          <w:rStyle w:val="FootnoteReference"/>
          <w:rFonts w:ascii="Times New Roman" w:hAnsi="Times New Roman" w:cs="Times New Roman"/>
          <w:sz w:val="24"/>
          <w:szCs w:val="24"/>
        </w:rPr>
        <w:footnoteReference w:id="352"/>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Uwaifo</w:t>
      </w:r>
      <w:proofErr w:type="spellEnd"/>
      <w:r w:rsidRPr="00353F2F">
        <w:rPr>
          <w:rFonts w:ascii="Times New Roman" w:hAnsi="Times New Roman" w:cs="Times New Roman"/>
          <w:sz w:val="24"/>
          <w:szCs w:val="24"/>
        </w:rPr>
        <w:t xml:space="preserve"> has specifically identified the quality of governance due diligence as a critical determinant of project bankability in the Nigerian context, </w:t>
      </w:r>
      <w:r w:rsidRPr="00353F2F">
        <w:rPr>
          <w:rFonts w:ascii="Times New Roman" w:hAnsi="Times New Roman" w:cs="Times New Roman"/>
          <w:sz w:val="24"/>
          <w:szCs w:val="24"/>
        </w:rPr>
        <w:lastRenderedPageBreak/>
        <w:t>noting that lenders who fail to conduct sufficiently rigorous governance due diligence face elevated credit risk from undisclosed governance weaknesses that may only manifest as credit events after financial close, when the cost of corrective governance intervention is substantially higher.</w:t>
      </w:r>
      <w:r w:rsidRPr="00353F2F">
        <w:rPr>
          <w:rStyle w:val="FootnoteReference"/>
          <w:rFonts w:ascii="Times New Roman" w:hAnsi="Times New Roman" w:cs="Times New Roman"/>
          <w:sz w:val="24"/>
          <w:szCs w:val="24"/>
        </w:rPr>
        <w:footnoteReference w:id="353"/>
      </w:r>
      <w:r w:rsidRPr="00353F2F">
        <w:rPr>
          <w:rFonts w:ascii="Times New Roman" w:hAnsi="Times New Roman" w:cs="Times New Roman"/>
          <w:sz w:val="24"/>
          <w:szCs w:val="24"/>
        </w:rPr>
        <w:t xml:space="preserve"> The Equator Principles’ requirement for an independent social and environmental review, to be conducted by a qualified consultant appointed by the lenders, is increasingly being supplemented in Nigerian project finance transactions by independent governance reviews covering the project company’s corporate governance arrangements, its beneficial ownership structures, and its compliance management systems, reflecting the growing recognition of governance risk as a distinct and material category of project finance credit risk.</w:t>
      </w:r>
      <w:r w:rsidRPr="00353F2F">
        <w:rPr>
          <w:rStyle w:val="FootnoteReference"/>
          <w:rFonts w:ascii="Times New Roman" w:hAnsi="Times New Roman" w:cs="Times New Roman"/>
          <w:sz w:val="24"/>
          <w:szCs w:val="24"/>
        </w:rPr>
        <w:footnoteReference w:id="354"/>
      </w:r>
    </w:p>
    <w:p w14:paraId="701B00E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3.5.2 Risk Allocation Frameworks</w:t>
      </w:r>
    </w:p>
    <w:p w14:paraId="56FFC7CF"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risk allocation framework of a project finance transaction, the contractual architecture through which identified project risks are distributed among the project participants, is both a product of the governance due diligence process and a governance mechanism in its own right, shaping the </w:t>
      </w:r>
      <w:proofErr w:type="spellStart"/>
      <w:r w:rsidRPr="00353F2F">
        <w:rPr>
          <w:rFonts w:ascii="Times New Roman" w:hAnsi="Times New Roman" w:cs="Times New Roman"/>
          <w:sz w:val="24"/>
          <w:szCs w:val="24"/>
        </w:rPr>
        <w:t>behaviour</w:t>
      </w:r>
      <w:proofErr w:type="spellEnd"/>
      <w:r w:rsidRPr="00353F2F">
        <w:rPr>
          <w:rFonts w:ascii="Times New Roman" w:hAnsi="Times New Roman" w:cs="Times New Roman"/>
          <w:sz w:val="24"/>
          <w:szCs w:val="24"/>
        </w:rPr>
        <w:t xml:space="preserve"> and incentives of project participants in ways that determine the effective management of project risks throughout the project lifecycle.</w:t>
      </w:r>
      <w:r w:rsidRPr="00353F2F">
        <w:rPr>
          <w:rStyle w:val="FootnoteReference"/>
          <w:rFonts w:ascii="Times New Roman" w:hAnsi="Times New Roman" w:cs="Times New Roman"/>
          <w:sz w:val="24"/>
          <w:szCs w:val="24"/>
        </w:rPr>
        <w:footnoteReference w:id="355"/>
      </w:r>
      <w:r w:rsidRPr="00353F2F">
        <w:rPr>
          <w:rFonts w:ascii="Times New Roman" w:hAnsi="Times New Roman" w:cs="Times New Roman"/>
          <w:sz w:val="24"/>
          <w:szCs w:val="24"/>
        </w:rPr>
        <w:t xml:space="preserve"> This determination is fundamentally a governance assessment: it requires an evaluation of the governance capacity, technical expertise, financial resources, and institutional incentives of each potential risk bearer, including the project company, its sponsors, the construction contractor, the equipment supplier, the </w:t>
      </w:r>
      <w:proofErr w:type="spellStart"/>
      <w:r w:rsidRPr="00353F2F">
        <w:rPr>
          <w:rFonts w:ascii="Times New Roman" w:hAnsi="Times New Roman" w:cs="Times New Roman"/>
          <w:sz w:val="24"/>
          <w:szCs w:val="24"/>
        </w:rPr>
        <w:t>offtaker</w:t>
      </w:r>
      <w:proofErr w:type="spellEnd"/>
      <w:r w:rsidRPr="00353F2F">
        <w:rPr>
          <w:rFonts w:ascii="Times New Roman" w:hAnsi="Times New Roman" w:cs="Times New Roman"/>
          <w:sz w:val="24"/>
          <w:szCs w:val="24"/>
        </w:rPr>
        <w:t>, the government counterparty, and the lender syndicate itself.</w:t>
      </w:r>
    </w:p>
    <w:p w14:paraId="2DA13B20"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lastRenderedPageBreak/>
        <w:t>Merna and Al-Thani’s four-category framework for risk response, avoidance, reduction, transfer, and retention, provides a practical governance tool for systematically approaching each identified risk category in the due diligence and contract negotiation process.</w:t>
      </w:r>
      <w:r w:rsidRPr="00353F2F">
        <w:rPr>
          <w:rStyle w:val="FootnoteReference"/>
          <w:rFonts w:ascii="Times New Roman" w:hAnsi="Times New Roman" w:cs="Times New Roman"/>
          <w:sz w:val="24"/>
          <w:szCs w:val="24"/>
        </w:rPr>
        <w:footnoteReference w:id="356"/>
      </w:r>
      <w:r w:rsidRPr="00353F2F">
        <w:rPr>
          <w:rFonts w:ascii="Times New Roman" w:hAnsi="Times New Roman" w:cs="Times New Roman"/>
          <w:sz w:val="24"/>
          <w:szCs w:val="24"/>
        </w:rPr>
        <w:t xml:space="preserve"> The selection of the appropriate risk response for each risk category requires a governance assessment of the probability and severity of the risk, the cost of the proposed risk response relative to the expected loss from unmanaged risk, and the governance capacity of the risk owner to implement the chosen risk response effectively.</w:t>
      </w:r>
      <w:r w:rsidRPr="00353F2F">
        <w:rPr>
          <w:rStyle w:val="FootnoteReference"/>
          <w:rFonts w:ascii="Times New Roman" w:hAnsi="Times New Roman" w:cs="Times New Roman"/>
          <w:sz w:val="24"/>
          <w:szCs w:val="24"/>
        </w:rPr>
        <w:footnoteReference w:id="357"/>
      </w:r>
      <w:r w:rsidRPr="00353F2F">
        <w:rPr>
          <w:rFonts w:ascii="Times New Roman" w:hAnsi="Times New Roman" w:cs="Times New Roman"/>
          <w:sz w:val="24"/>
          <w:szCs w:val="24"/>
        </w:rPr>
        <w:t xml:space="preserve"> The risk allocation framework is </w:t>
      </w:r>
      <w:proofErr w:type="spellStart"/>
      <w:r w:rsidRPr="00353F2F">
        <w:rPr>
          <w:rFonts w:ascii="Times New Roman" w:hAnsi="Times New Roman" w:cs="Times New Roman"/>
          <w:sz w:val="24"/>
          <w:szCs w:val="24"/>
        </w:rPr>
        <w:t>operationalised</w:t>
      </w:r>
      <w:proofErr w:type="spellEnd"/>
      <w:r w:rsidRPr="00353F2F">
        <w:rPr>
          <w:rFonts w:ascii="Times New Roman" w:hAnsi="Times New Roman" w:cs="Times New Roman"/>
          <w:sz w:val="24"/>
          <w:szCs w:val="24"/>
        </w:rPr>
        <w:t xml:space="preserve"> through the project’s contractual architecture, with each major project contract, the construction contract, the offtake agreement, the O&amp;M contract, and the concession or implementation agreement, serving as the primary vehicle for allocating specific categories of risk to the most appropriate project participant.</w:t>
      </w:r>
      <w:r w:rsidRPr="00353F2F">
        <w:rPr>
          <w:rStyle w:val="FootnoteReference"/>
          <w:rFonts w:ascii="Times New Roman" w:hAnsi="Times New Roman" w:cs="Times New Roman"/>
          <w:sz w:val="24"/>
          <w:szCs w:val="24"/>
        </w:rPr>
        <w:footnoteReference w:id="358"/>
      </w:r>
      <w:r w:rsidRPr="00353F2F">
        <w:rPr>
          <w:rFonts w:ascii="Times New Roman" w:hAnsi="Times New Roman" w:cs="Times New Roman"/>
          <w:sz w:val="24"/>
          <w:szCs w:val="24"/>
        </w:rPr>
        <w:t xml:space="preserve"> The Federal Ministry of Finance’s PPP Manual provides a standard risk allocation matrix for Nigerian PPP project finance transactions, identifying the principal risk categories applicable to infrastructure concessions and specifying the recommended risk allocation between the government grantor and the private concessionaire for each category.</w:t>
      </w:r>
      <w:r w:rsidRPr="00353F2F">
        <w:rPr>
          <w:rStyle w:val="FootnoteReference"/>
          <w:rFonts w:ascii="Times New Roman" w:hAnsi="Times New Roman" w:cs="Times New Roman"/>
          <w:sz w:val="24"/>
          <w:szCs w:val="24"/>
        </w:rPr>
        <w:footnoteReference w:id="359"/>
      </w:r>
      <w:r w:rsidRPr="00353F2F">
        <w:rPr>
          <w:rFonts w:ascii="Times New Roman" w:hAnsi="Times New Roman" w:cs="Times New Roman"/>
          <w:sz w:val="24"/>
          <w:szCs w:val="24"/>
        </w:rPr>
        <w:t xml:space="preserve"> </w:t>
      </w:r>
    </w:p>
    <w:p w14:paraId="1D65F5D2"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Nigerian federal government’s PPP Manual provides a detailed risk allocation matrix for concession-based infrastructure transactions, reflecting the accumulated experience of the ICRC and the Federal Ministry of Finance with the specific categories of risk arising in Nigerian infrastructure project finance. The Manual’s risk matrix allocates construction risk, operational risk, and demand risk primarily to the private concessionaire, while reserving political risk, </w:t>
      </w:r>
      <w:r w:rsidRPr="00353F2F">
        <w:rPr>
          <w:rFonts w:ascii="Times New Roman" w:hAnsi="Times New Roman" w:cs="Times New Roman"/>
          <w:sz w:val="24"/>
          <w:szCs w:val="24"/>
        </w:rPr>
        <w:lastRenderedPageBreak/>
        <w:t>change-in-law risk, and force majeure risk for negotiation between the parties, subject to the backstop of government support mechanisms where the project’s financial model cannot sustain the full weight of these risks on a private sector balance sheet.</w:t>
      </w:r>
      <w:r w:rsidRPr="00353F2F">
        <w:rPr>
          <w:rStyle w:val="FootnoteReference"/>
          <w:rFonts w:ascii="Times New Roman" w:hAnsi="Times New Roman" w:cs="Times New Roman"/>
          <w:sz w:val="24"/>
          <w:szCs w:val="24"/>
        </w:rPr>
        <w:footnoteReference w:id="360"/>
      </w:r>
      <w:r w:rsidRPr="00353F2F">
        <w:rPr>
          <w:rFonts w:ascii="Times New Roman" w:hAnsi="Times New Roman" w:cs="Times New Roman"/>
          <w:sz w:val="24"/>
          <w:szCs w:val="24"/>
        </w:rPr>
        <w:t xml:space="preserve"> Afolabi has argued that the quality of risk allocation in Nigerian infrastructure project finance transactions has improved materially since the issuance of the ICRC’s standard concession agreement framework in 2010, noting that the adoption of internationally </w:t>
      </w:r>
      <w:proofErr w:type="spellStart"/>
      <w:r w:rsidRPr="00353F2F">
        <w:rPr>
          <w:rFonts w:ascii="Times New Roman" w:hAnsi="Times New Roman" w:cs="Times New Roman"/>
          <w:sz w:val="24"/>
          <w:szCs w:val="24"/>
        </w:rPr>
        <w:t>recognised</w:t>
      </w:r>
      <w:proofErr w:type="spellEnd"/>
      <w:r w:rsidRPr="00353F2F">
        <w:rPr>
          <w:rFonts w:ascii="Times New Roman" w:hAnsi="Times New Roman" w:cs="Times New Roman"/>
          <w:sz w:val="24"/>
          <w:szCs w:val="24"/>
        </w:rPr>
        <w:t xml:space="preserve"> risk allocation principles in Nigerian PPP documentation has significantly enhanced the bankability of government-backed infrastructure projects and expanded the pool of international lenders willing to provide project finance to Nigerian concession transactions.</w:t>
      </w:r>
      <w:r w:rsidRPr="00353F2F">
        <w:rPr>
          <w:rStyle w:val="FootnoteReference"/>
          <w:rFonts w:ascii="Times New Roman" w:hAnsi="Times New Roman" w:cs="Times New Roman"/>
          <w:sz w:val="24"/>
          <w:szCs w:val="24"/>
        </w:rPr>
        <w:footnoteReference w:id="361"/>
      </w:r>
      <w:r w:rsidRPr="00353F2F">
        <w:rPr>
          <w:rFonts w:ascii="Times New Roman" w:hAnsi="Times New Roman" w:cs="Times New Roman"/>
          <w:sz w:val="24"/>
          <w:szCs w:val="24"/>
        </w:rPr>
        <w:t xml:space="preserve"> Notwithstanding these improvements, significant governance challenges remain in the risk allocation dimension of Nigerian project finance, including the residual risk of government repudiation of contractual obligations, the risk of non-payment by government-owned </w:t>
      </w:r>
      <w:proofErr w:type="spellStart"/>
      <w:r w:rsidRPr="00353F2F">
        <w:rPr>
          <w:rFonts w:ascii="Times New Roman" w:hAnsi="Times New Roman" w:cs="Times New Roman"/>
          <w:sz w:val="24"/>
          <w:szCs w:val="24"/>
        </w:rPr>
        <w:t>offtakers</w:t>
      </w:r>
      <w:proofErr w:type="spellEnd"/>
      <w:r w:rsidRPr="00353F2F">
        <w:rPr>
          <w:rFonts w:ascii="Times New Roman" w:hAnsi="Times New Roman" w:cs="Times New Roman"/>
          <w:sz w:val="24"/>
          <w:szCs w:val="24"/>
        </w:rPr>
        <w:t>, and the risk of regulatory changes that alter the commercial basis of the project without adequate compensation.</w:t>
      </w:r>
      <w:r w:rsidRPr="00353F2F">
        <w:rPr>
          <w:rStyle w:val="FootnoteReference"/>
          <w:rFonts w:ascii="Times New Roman" w:hAnsi="Times New Roman" w:cs="Times New Roman"/>
          <w:sz w:val="24"/>
          <w:szCs w:val="24"/>
        </w:rPr>
        <w:footnoteReference w:id="362"/>
      </w:r>
      <w:r w:rsidRPr="00353F2F">
        <w:rPr>
          <w:rFonts w:ascii="Times New Roman" w:hAnsi="Times New Roman" w:cs="Times New Roman"/>
          <w:sz w:val="24"/>
          <w:szCs w:val="24"/>
        </w:rPr>
        <w:t xml:space="preserve"> These risks, which are governance failures at the level of the government counterparty rather than the project company, represent a category of political governance risk that cannot be fully mitigated through project company governance improvements but must instead be managed through the procurement of political risk insurance, the structuring of multilateral lender participation, and the negotiation of robust contractual protections in the implementation agreement or concession agreement.</w:t>
      </w:r>
      <w:r w:rsidRPr="00353F2F">
        <w:rPr>
          <w:rStyle w:val="FootnoteReference"/>
          <w:rFonts w:ascii="Times New Roman" w:hAnsi="Times New Roman" w:cs="Times New Roman"/>
          <w:sz w:val="24"/>
          <w:szCs w:val="24"/>
        </w:rPr>
        <w:footnoteReference w:id="363"/>
      </w:r>
    </w:p>
    <w:p w14:paraId="6B943FCB"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lastRenderedPageBreak/>
        <w:t>3.5.3 Contractual Governance Safeguards</w:t>
      </w:r>
    </w:p>
    <w:p w14:paraId="31604C07"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The contractual governance safeguards embedded in project finance loan documentation, including the conditions precedent to drawdown, representations and warranties, affirmative and negative undertakings, financial covenants, events of default, and enforcement mechanisms, constitute the third and most detailed dimension of the governance framework applicable to project finance transactions, providing lenders with a comprehensive legal toolkit for monitoring and enforcing governance standards throughout the project lifecycle.</w:t>
      </w:r>
      <w:r w:rsidRPr="00353F2F">
        <w:rPr>
          <w:rStyle w:val="FootnoteReference"/>
          <w:rFonts w:ascii="Times New Roman" w:hAnsi="Times New Roman" w:cs="Times New Roman"/>
          <w:sz w:val="24"/>
          <w:szCs w:val="24"/>
        </w:rPr>
        <w:footnoteReference w:id="364"/>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Vinter</w:t>
      </w:r>
      <w:proofErr w:type="spellEnd"/>
      <w:r w:rsidRPr="00353F2F">
        <w:rPr>
          <w:rFonts w:ascii="Times New Roman" w:hAnsi="Times New Roman" w:cs="Times New Roman"/>
          <w:sz w:val="24"/>
          <w:szCs w:val="24"/>
        </w:rPr>
        <w:t xml:space="preserve"> and Price describe the project finance loan agreement as a governance document as much as a financing document, noting that its primary function, from a lender perspective, is not merely to record the financial terms of the lending but to establish the governance framework within which the project will be developed and operated, and to provide the legal mechanisms through which lenders can monitor, enforce, and if necessary protect their interests when that governance framework is not adhered to.</w:t>
      </w:r>
      <w:r w:rsidRPr="00353F2F">
        <w:rPr>
          <w:rStyle w:val="FootnoteReference"/>
          <w:rFonts w:ascii="Times New Roman" w:hAnsi="Times New Roman" w:cs="Times New Roman"/>
          <w:sz w:val="24"/>
          <w:szCs w:val="24"/>
        </w:rPr>
        <w:footnoteReference w:id="365"/>
      </w:r>
      <w:r w:rsidRPr="00353F2F">
        <w:rPr>
          <w:rFonts w:ascii="Times New Roman" w:hAnsi="Times New Roman" w:cs="Times New Roman"/>
          <w:sz w:val="24"/>
          <w:szCs w:val="24"/>
        </w:rPr>
        <w:t xml:space="preserve"> The conditions precedent to drawdown, the list of conditions that the borrower must satisfy before lenders are obliged to make the first disbursement of the loan, function as governance prerequisites, ensuring that the project’s governance framework is fully established and operational before any loan proceeds are committed.</w:t>
      </w:r>
    </w:p>
    <w:p w14:paraId="565176FE" w14:textId="77777777" w:rsidR="00AB7F86" w:rsidRPr="00353F2F" w:rsidRDefault="00AB7F86"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representations and warranties section of the loan agreement requires the project company to make positive statements about its governance status, confirming that it has been duly incorporated and validly exists, that all corporate </w:t>
      </w:r>
      <w:proofErr w:type="spellStart"/>
      <w:r w:rsidRPr="00353F2F">
        <w:rPr>
          <w:rFonts w:ascii="Times New Roman" w:hAnsi="Times New Roman" w:cs="Times New Roman"/>
          <w:sz w:val="24"/>
          <w:szCs w:val="24"/>
        </w:rPr>
        <w:t>authorisations</w:t>
      </w:r>
      <w:proofErr w:type="spellEnd"/>
      <w:r w:rsidRPr="00353F2F">
        <w:rPr>
          <w:rFonts w:ascii="Times New Roman" w:hAnsi="Times New Roman" w:cs="Times New Roman"/>
          <w:sz w:val="24"/>
          <w:szCs w:val="24"/>
        </w:rPr>
        <w:t xml:space="preserve"> required for the transaction have been obtained, that its financial statements present a true and fair view of its financial position, that it is in compliance with all applicable laws and regulations, and that there are no pending or threatened </w:t>
      </w:r>
      <w:r w:rsidRPr="00353F2F">
        <w:rPr>
          <w:rFonts w:ascii="Times New Roman" w:hAnsi="Times New Roman" w:cs="Times New Roman"/>
          <w:sz w:val="24"/>
          <w:szCs w:val="24"/>
        </w:rPr>
        <w:lastRenderedPageBreak/>
        <w:t>legal or regulatory proceedings that could materially affect its ability to perform its obligations.</w:t>
      </w:r>
      <w:r w:rsidRPr="00353F2F">
        <w:rPr>
          <w:rStyle w:val="FootnoteReference"/>
          <w:rFonts w:ascii="Times New Roman" w:hAnsi="Times New Roman" w:cs="Times New Roman"/>
          <w:sz w:val="24"/>
          <w:szCs w:val="24"/>
        </w:rPr>
        <w:footnoteReference w:id="366"/>
      </w:r>
      <w:r w:rsidRPr="00353F2F">
        <w:rPr>
          <w:rFonts w:ascii="Times New Roman" w:hAnsi="Times New Roman" w:cs="Times New Roman"/>
          <w:sz w:val="24"/>
          <w:szCs w:val="24"/>
        </w:rPr>
        <w:t xml:space="preserve"> These representations operate as governance checkpoints: any inaccuracy in the representations constitutes a representation event of default, giving lenders the right to accelerate the loan and enforce their security, thereby creating powerful incentives for the project company to maintain the governance standards about which it has made representations.</w:t>
      </w:r>
      <w:r w:rsidRPr="00353F2F">
        <w:rPr>
          <w:rStyle w:val="FootnoteReference"/>
          <w:rFonts w:ascii="Times New Roman" w:hAnsi="Times New Roman" w:cs="Times New Roman"/>
          <w:sz w:val="24"/>
          <w:szCs w:val="24"/>
        </w:rPr>
        <w:footnoteReference w:id="367"/>
      </w:r>
      <w:r w:rsidRPr="00353F2F">
        <w:rPr>
          <w:rFonts w:ascii="Times New Roman" w:hAnsi="Times New Roman" w:cs="Times New Roman"/>
          <w:sz w:val="24"/>
          <w:szCs w:val="24"/>
        </w:rPr>
        <w:t xml:space="preserve"> The financial covenants — most importantly the debt service coverage ratio covenant, which requires the project’s cash flow to maintain a minimum multiple of the debt service payments falling due in each testing period — function as continuous governance monitors, providing lenders with a quantitative early warning system for the detection of project financial deterioration that may be attributable to governance failures.</w:t>
      </w:r>
      <w:r w:rsidRPr="00353F2F">
        <w:rPr>
          <w:rStyle w:val="FootnoteReference"/>
          <w:rFonts w:ascii="Times New Roman" w:hAnsi="Times New Roman" w:cs="Times New Roman"/>
          <w:sz w:val="24"/>
          <w:szCs w:val="24"/>
        </w:rPr>
        <w:footnoteReference w:id="368"/>
      </w:r>
      <w:r w:rsidRPr="00353F2F">
        <w:rPr>
          <w:rFonts w:ascii="Times New Roman" w:hAnsi="Times New Roman" w:cs="Times New Roman"/>
          <w:sz w:val="24"/>
          <w:szCs w:val="24"/>
        </w:rPr>
        <w:t xml:space="preserve"> </w:t>
      </w:r>
    </w:p>
    <w:p w14:paraId="0E4ECEEF"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The financial covenant regime’s effectiveness as a governance monitoring mechanism depends critically on the quality of the financial reporting systems that generate the data inputs to covenant compliance calculations. A project company whose financial reporting systems are deficient, whose accounting policies are not consistently applied, or whose management accounts are subject to material error risks producing covenant compliance reports that provide a misleading picture of project performance, potentially masking governance failures until they have escalated to the point of irreversible project distress.</w:t>
      </w:r>
      <w:r w:rsidRPr="00353F2F">
        <w:rPr>
          <w:rStyle w:val="FootnoteReference"/>
          <w:rFonts w:ascii="Times New Roman" w:hAnsi="Times New Roman" w:cs="Times New Roman"/>
          <w:sz w:val="24"/>
          <w:szCs w:val="24"/>
        </w:rPr>
        <w:footnoteReference w:id="369"/>
      </w:r>
      <w:r w:rsidRPr="00353F2F">
        <w:rPr>
          <w:rFonts w:ascii="Times New Roman" w:hAnsi="Times New Roman" w:cs="Times New Roman"/>
          <w:sz w:val="24"/>
          <w:szCs w:val="24"/>
        </w:rPr>
        <w:t xml:space="preserve"> The FRCN’s adoption of International Financial Reporting Standards as the applicable accounting framework for public interest entities in Nigeria provides a globally </w:t>
      </w:r>
      <w:proofErr w:type="spellStart"/>
      <w:r w:rsidRPr="00353F2F">
        <w:rPr>
          <w:rFonts w:ascii="Times New Roman" w:hAnsi="Times New Roman" w:cs="Times New Roman"/>
          <w:sz w:val="24"/>
          <w:szCs w:val="24"/>
        </w:rPr>
        <w:t>recognised</w:t>
      </w:r>
      <w:proofErr w:type="spellEnd"/>
      <w:r w:rsidRPr="00353F2F">
        <w:rPr>
          <w:rFonts w:ascii="Times New Roman" w:hAnsi="Times New Roman" w:cs="Times New Roman"/>
          <w:sz w:val="24"/>
          <w:szCs w:val="24"/>
        </w:rPr>
        <w:t xml:space="preserve"> benchmark for financial reporting quality whose consistent application by Nigerian project company auditors would significantly strengthen the reliability of covenant </w:t>
      </w:r>
      <w:r w:rsidRPr="00353F2F">
        <w:rPr>
          <w:rFonts w:ascii="Times New Roman" w:hAnsi="Times New Roman" w:cs="Times New Roman"/>
          <w:sz w:val="24"/>
          <w:szCs w:val="24"/>
        </w:rPr>
        <w:lastRenderedPageBreak/>
        <w:t>compliance reporting.</w:t>
      </w:r>
      <w:r w:rsidRPr="00353F2F">
        <w:rPr>
          <w:rStyle w:val="FootnoteReference"/>
          <w:rFonts w:ascii="Times New Roman" w:hAnsi="Times New Roman" w:cs="Times New Roman"/>
          <w:sz w:val="24"/>
          <w:szCs w:val="24"/>
        </w:rPr>
        <w:footnoteReference w:id="370"/>
      </w:r>
      <w:r w:rsidRPr="00353F2F">
        <w:rPr>
          <w:rFonts w:ascii="Times New Roman" w:hAnsi="Times New Roman" w:cs="Times New Roman"/>
          <w:sz w:val="24"/>
          <w:szCs w:val="24"/>
        </w:rPr>
        <w:t xml:space="preserve"> Nigerian case law has confirmed the enforceability of loan covenants against project borrowers, with the courts affirming in a series of commercial decisions that clearly drafted financial covenants in loan agreements will be enforced according to their terms, providing lenders with the judicial support needed to exercise their contractual governance monitoring rights in the event of borrower non-compliance.</w:t>
      </w:r>
      <w:r w:rsidRPr="00353F2F">
        <w:rPr>
          <w:rStyle w:val="FootnoteReference"/>
          <w:rFonts w:ascii="Times New Roman" w:hAnsi="Times New Roman" w:cs="Times New Roman"/>
          <w:sz w:val="24"/>
          <w:szCs w:val="24"/>
        </w:rPr>
        <w:footnoteReference w:id="371"/>
      </w:r>
    </w:p>
    <w:p w14:paraId="00656671" w14:textId="77777777" w:rsidR="00AB7F86" w:rsidRPr="00353F2F" w:rsidRDefault="00AB7F86" w:rsidP="00353F2F">
      <w:pPr>
        <w:pStyle w:val="Heading1"/>
        <w:spacing w:line="480" w:lineRule="auto"/>
        <w:jc w:val="both"/>
        <w:rPr>
          <w:sz w:val="24"/>
          <w:szCs w:val="24"/>
        </w:rPr>
      </w:pPr>
      <w:r w:rsidRPr="00353F2F">
        <w:rPr>
          <w:sz w:val="24"/>
          <w:szCs w:val="24"/>
        </w:rPr>
        <w:t xml:space="preserve">3.6 Concluding Assessment </w:t>
      </w:r>
      <w:proofErr w:type="gramStart"/>
      <w:r w:rsidRPr="00353F2F">
        <w:rPr>
          <w:sz w:val="24"/>
          <w:szCs w:val="24"/>
        </w:rPr>
        <w:t>Of</w:t>
      </w:r>
      <w:proofErr w:type="gramEnd"/>
      <w:r w:rsidRPr="00353F2F">
        <w:rPr>
          <w:sz w:val="24"/>
          <w:szCs w:val="24"/>
        </w:rPr>
        <w:t xml:space="preserve"> The Legal And Institutional Framework</w:t>
      </w:r>
    </w:p>
    <w:p w14:paraId="4D17B8B1"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foregoing analysis of the legal and institutional framework for corporate governance in Nigerian project finance reveals a governance architecture that is, in formal terms, broadly comprehensive and increasingly aligned with international best practice, but that continues to face significant implementation and enforcement challenges that constrain its effectiveness as a risk mitigation and bankability-enhancing mechanism. The legislative reforms of the last decade, including the enactment of CAMA 2020, the Petroleum Industry Act 2021, the Arbitration and Mediation Act 2023, and the Secured Transactions in Movable Assets Act 2017, represent a sustained and deliberate effort to </w:t>
      </w:r>
      <w:proofErr w:type="spellStart"/>
      <w:r w:rsidRPr="00353F2F">
        <w:rPr>
          <w:rFonts w:ascii="Times New Roman" w:hAnsi="Times New Roman" w:cs="Times New Roman"/>
          <w:sz w:val="24"/>
          <w:szCs w:val="24"/>
        </w:rPr>
        <w:t>modernise</w:t>
      </w:r>
      <w:proofErr w:type="spellEnd"/>
      <w:r w:rsidRPr="00353F2F">
        <w:rPr>
          <w:rFonts w:ascii="Times New Roman" w:hAnsi="Times New Roman" w:cs="Times New Roman"/>
          <w:sz w:val="24"/>
          <w:szCs w:val="24"/>
        </w:rPr>
        <w:t xml:space="preserve"> and strengthen the statutory foundations of the corporate governance framework applicable to Nigerian project finance, addressing many of the legal gaps and uncertainties that previously constrained lender appetite for Nigerian project finance transactions.</w:t>
      </w:r>
      <w:r w:rsidRPr="00353F2F">
        <w:rPr>
          <w:rStyle w:val="FootnoteReference"/>
          <w:rFonts w:ascii="Times New Roman" w:hAnsi="Times New Roman" w:cs="Times New Roman"/>
          <w:sz w:val="24"/>
          <w:szCs w:val="24"/>
        </w:rPr>
        <w:footnoteReference w:id="372"/>
      </w:r>
      <w:r w:rsidRPr="00353F2F">
        <w:rPr>
          <w:rFonts w:ascii="Times New Roman" w:hAnsi="Times New Roman" w:cs="Times New Roman"/>
          <w:sz w:val="24"/>
          <w:szCs w:val="24"/>
        </w:rPr>
        <w:t xml:space="preserve"> However, as </w:t>
      </w:r>
      <w:proofErr w:type="spellStart"/>
      <w:r w:rsidRPr="00353F2F">
        <w:rPr>
          <w:rFonts w:ascii="Times New Roman" w:hAnsi="Times New Roman" w:cs="Times New Roman"/>
          <w:sz w:val="24"/>
          <w:szCs w:val="24"/>
        </w:rPr>
        <w:t>Adegbite</w:t>
      </w:r>
      <w:proofErr w:type="spellEnd"/>
      <w:r w:rsidRPr="00353F2F">
        <w:rPr>
          <w:rFonts w:ascii="Times New Roman" w:hAnsi="Times New Roman" w:cs="Times New Roman"/>
          <w:sz w:val="24"/>
          <w:szCs w:val="24"/>
        </w:rPr>
        <w:t xml:space="preserve"> has demonstrated, formal legislative reform is a necessary but not sufficient condition for governance improvement in environments where institutional </w:t>
      </w:r>
      <w:r w:rsidRPr="00353F2F">
        <w:rPr>
          <w:rFonts w:ascii="Times New Roman" w:hAnsi="Times New Roman" w:cs="Times New Roman"/>
          <w:sz w:val="24"/>
          <w:szCs w:val="24"/>
        </w:rPr>
        <w:lastRenderedPageBreak/>
        <w:t xml:space="preserve">enforcement capacity is limited and informal governance norms continue to exert a countervailing influence on corporate </w:t>
      </w:r>
      <w:proofErr w:type="spellStart"/>
      <w:r w:rsidRPr="00353F2F">
        <w:rPr>
          <w:rFonts w:ascii="Times New Roman" w:hAnsi="Times New Roman" w:cs="Times New Roman"/>
          <w:sz w:val="24"/>
          <w:szCs w:val="24"/>
        </w:rPr>
        <w:t>behaviour</w:t>
      </w:r>
      <w:proofErr w:type="spellEnd"/>
      <w:r w:rsidRPr="00353F2F">
        <w:rPr>
          <w:rFonts w:ascii="Times New Roman" w:hAnsi="Times New Roman" w:cs="Times New Roman"/>
          <w:sz w:val="24"/>
          <w:szCs w:val="24"/>
        </w:rPr>
        <w:t>.</w:t>
      </w:r>
      <w:r w:rsidRPr="00353F2F">
        <w:rPr>
          <w:rStyle w:val="FootnoteReference"/>
          <w:rFonts w:ascii="Times New Roman" w:hAnsi="Times New Roman" w:cs="Times New Roman"/>
          <w:sz w:val="24"/>
          <w:szCs w:val="24"/>
        </w:rPr>
        <w:footnoteReference w:id="373"/>
      </w:r>
    </w:p>
    <w:p w14:paraId="22154E9F"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institutional framework, comprising the CAC, FRCN, CBN, SEC, ICRC, NERC, NUPRC, NMDPRA, and NIPC, provides a multi-layered regulatory oversight structure that, when functioning effectively, is capable of enforcing compliance with applicable governance standards and deterring governance violations. However, the institutional framework’s effectiveness is constrained by the overlapping jurisdictions, capacity limitations, and coordination failures that </w:t>
      </w:r>
      <w:proofErr w:type="spellStart"/>
      <w:r w:rsidRPr="00353F2F">
        <w:rPr>
          <w:rFonts w:ascii="Times New Roman" w:hAnsi="Times New Roman" w:cs="Times New Roman"/>
          <w:sz w:val="24"/>
          <w:szCs w:val="24"/>
        </w:rPr>
        <w:t>characterise</w:t>
      </w:r>
      <w:proofErr w:type="spellEnd"/>
      <w:r w:rsidRPr="00353F2F">
        <w:rPr>
          <w:rFonts w:ascii="Times New Roman" w:hAnsi="Times New Roman" w:cs="Times New Roman"/>
          <w:sz w:val="24"/>
          <w:szCs w:val="24"/>
        </w:rPr>
        <w:t xml:space="preserve"> Nigeria’s regulatory landscape, as identified by the World Bank’s ROSC assessment.</w:t>
      </w:r>
      <w:r w:rsidRPr="00353F2F">
        <w:rPr>
          <w:rStyle w:val="FootnoteReference"/>
          <w:rFonts w:ascii="Times New Roman" w:hAnsi="Times New Roman" w:cs="Times New Roman"/>
          <w:sz w:val="24"/>
          <w:szCs w:val="24"/>
        </w:rPr>
        <w:footnoteReference w:id="374"/>
      </w:r>
      <w:r w:rsidRPr="00353F2F">
        <w:rPr>
          <w:rFonts w:ascii="Times New Roman" w:hAnsi="Times New Roman" w:cs="Times New Roman"/>
          <w:sz w:val="24"/>
          <w:szCs w:val="24"/>
        </w:rPr>
        <w:t xml:space="preserve"> The practical risk for project finance lenders is that the formal governance standards of applicable codes and statutes may not be reliably enforced against project companies, creating a governance compliance uncertainty that lenders must factor into their bankability assessments and manage through enhanced contractual governance safeguards.</w:t>
      </w:r>
      <w:r w:rsidRPr="00353F2F">
        <w:rPr>
          <w:rStyle w:val="FootnoteReference"/>
          <w:rFonts w:ascii="Times New Roman" w:hAnsi="Times New Roman" w:cs="Times New Roman"/>
          <w:sz w:val="24"/>
          <w:szCs w:val="24"/>
        </w:rPr>
        <w:footnoteReference w:id="375"/>
      </w:r>
    </w:p>
    <w:p w14:paraId="2675F657"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The international governance standards examined in Section 3.3, including the OECD Principles, the IFC Performance Standards, the Equator Principles, and the Basel III framework, play an important supplementary role in the Nigerian project finance governance landscape, extending the reach of internationally </w:t>
      </w:r>
      <w:proofErr w:type="spellStart"/>
      <w:r w:rsidRPr="00353F2F">
        <w:rPr>
          <w:rFonts w:ascii="Times New Roman" w:hAnsi="Times New Roman" w:cs="Times New Roman"/>
          <w:sz w:val="24"/>
          <w:szCs w:val="24"/>
        </w:rPr>
        <w:t>recognised</w:t>
      </w:r>
      <w:proofErr w:type="spellEnd"/>
      <w:r w:rsidRPr="00353F2F">
        <w:rPr>
          <w:rFonts w:ascii="Times New Roman" w:hAnsi="Times New Roman" w:cs="Times New Roman"/>
          <w:sz w:val="24"/>
          <w:szCs w:val="24"/>
        </w:rPr>
        <w:t xml:space="preserve"> governance requirements beyond what domestic regulation alone would mandate. Their significance derives not merely from their substantive content but from their function as a market access condition for international project finance capital: Nigerian project companies that fail to comply with these international standards face the practical </w:t>
      </w:r>
      <w:r w:rsidRPr="00353F2F">
        <w:rPr>
          <w:rFonts w:ascii="Times New Roman" w:hAnsi="Times New Roman" w:cs="Times New Roman"/>
          <w:sz w:val="24"/>
          <w:szCs w:val="24"/>
        </w:rPr>
        <w:lastRenderedPageBreak/>
        <w:t>consequence of being excluded from the pool of transactions eligible for financing by international banks, multilateral financial institutions, and export credit agencies, whose combined lending capacity far exceeds that of the domestic banking system.</w:t>
      </w:r>
      <w:r w:rsidRPr="00353F2F">
        <w:rPr>
          <w:rStyle w:val="FootnoteReference"/>
          <w:rFonts w:ascii="Times New Roman" w:hAnsi="Times New Roman" w:cs="Times New Roman"/>
          <w:sz w:val="24"/>
          <w:szCs w:val="24"/>
        </w:rPr>
        <w:footnoteReference w:id="376"/>
      </w:r>
      <w:r w:rsidRPr="00353F2F">
        <w:rPr>
          <w:rFonts w:ascii="Times New Roman" w:hAnsi="Times New Roman" w:cs="Times New Roman"/>
          <w:sz w:val="24"/>
          <w:szCs w:val="24"/>
        </w:rPr>
        <w:t xml:space="preserve"> La Porta and his co-authors’ finding that the quality of legal system enforcement, rather than the formal content of laws alone, is the decisive determinant of investor protection effectiveness applies with particular force to this dimension of the Nigerian project finance governance framework: the governance improvements achievable through international standards engagement are only </w:t>
      </w:r>
      <w:proofErr w:type="spellStart"/>
      <w:r w:rsidRPr="00353F2F">
        <w:rPr>
          <w:rFonts w:ascii="Times New Roman" w:hAnsi="Times New Roman" w:cs="Times New Roman"/>
          <w:sz w:val="24"/>
          <w:szCs w:val="24"/>
        </w:rPr>
        <w:t>realised</w:t>
      </w:r>
      <w:proofErr w:type="spellEnd"/>
      <w:r w:rsidRPr="00353F2F">
        <w:rPr>
          <w:rFonts w:ascii="Times New Roman" w:hAnsi="Times New Roman" w:cs="Times New Roman"/>
          <w:sz w:val="24"/>
          <w:szCs w:val="24"/>
        </w:rPr>
        <w:t xml:space="preserve"> to the extent that Nigerian regulatory institutions and judicial processes provide reliable enforcement of the governance commitments made by project companies as conditions of international financing.</w:t>
      </w:r>
      <w:r w:rsidRPr="00353F2F">
        <w:rPr>
          <w:rStyle w:val="FootnoteReference"/>
          <w:rFonts w:ascii="Times New Roman" w:hAnsi="Times New Roman" w:cs="Times New Roman"/>
          <w:sz w:val="24"/>
          <w:szCs w:val="24"/>
        </w:rPr>
        <w:footnoteReference w:id="377"/>
      </w:r>
    </w:p>
    <w:p w14:paraId="16783383" w14:textId="77777777" w:rsidR="00AB7F86" w:rsidRPr="00353F2F" w:rsidRDefault="00AB7F86" w:rsidP="00353F2F">
      <w:pPr>
        <w:spacing w:after="400" w:line="480" w:lineRule="auto"/>
        <w:jc w:val="both"/>
        <w:rPr>
          <w:rFonts w:ascii="Times New Roman" w:hAnsi="Times New Roman" w:cs="Times New Roman"/>
          <w:sz w:val="24"/>
          <w:szCs w:val="24"/>
        </w:rPr>
      </w:pPr>
      <w:r w:rsidRPr="00353F2F">
        <w:rPr>
          <w:rFonts w:ascii="Times New Roman" w:hAnsi="Times New Roman" w:cs="Times New Roman"/>
          <w:sz w:val="24"/>
          <w:szCs w:val="24"/>
        </w:rPr>
        <w:t xml:space="preserve">In conclusion, the legal and institutional framework for corporate governance in Nigerian project finance is </w:t>
      </w:r>
      <w:proofErr w:type="spellStart"/>
      <w:r w:rsidRPr="00353F2F">
        <w:rPr>
          <w:rFonts w:ascii="Times New Roman" w:hAnsi="Times New Roman" w:cs="Times New Roman"/>
          <w:sz w:val="24"/>
          <w:szCs w:val="24"/>
        </w:rPr>
        <w:t>characterised</w:t>
      </w:r>
      <w:proofErr w:type="spellEnd"/>
      <w:r w:rsidRPr="00353F2F">
        <w:rPr>
          <w:rFonts w:ascii="Times New Roman" w:hAnsi="Times New Roman" w:cs="Times New Roman"/>
          <w:sz w:val="24"/>
          <w:szCs w:val="24"/>
        </w:rPr>
        <w:t xml:space="preserve"> by a productive tension between formal governance standards of increasing sophistication and the practical enforcement and implementation challenges of a developing country institutional environment. The resolution of this tension, through capacity building in regulatory institutions, strengthening of judicial enforcement of commercial governance obligations, deepening of the domestic professional infrastructure for governance monitoring and enforcement, and sustained engagement with international governance standard-setters, is the central governance reform challenge for Nigerian project finance and the principal subject of the reform analysis developed in the succeeding chapters of this thesis.</w:t>
      </w:r>
      <w:r w:rsidRPr="00353F2F">
        <w:rPr>
          <w:rStyle w:val="FootnoteReference"/>
          <w:rFonts w:ascii="Times New Roman" w:hAnsi="Times New Roman" w:cs="Times New Roman"/>
          <w:sz w:val="24"/>
          <w:szCs w:val="24"/>
        </w:rPr>
        <w:footnoteReference w:id="378"/>
      </w:r>
      <w:r w:rsidRPr="00353F2F">
        <w:rPr>
          <w:rFonts w:ascii="Times New Roman" w:hAnsi="Times New Roman" w:cs="Times New Roman"/>
          <w:sz w:val="24"/>
          <w:szCs w:val="24"/>
        </w:rPr>
        <w:t xml:space="preserve"> </w:t>
      </w:r>
      <w:proofErr w:type="spellStart"/>
      <w:r w:rsidRPr="00353F2F">
        <w:rPr>
          <w:rFonts w:ascii="Times New Roman" w:hAnsi="Times New Roman" w:cs="Times New Roman"/>
          <w:sz w:val="24"/>
          <w:szCs w:val="24"/>
        </w:rPr>
        <w:t>Tricker’s</w:t>
      </w:r>
      <w:proofErr w:type="spellEnd"/>
      <w:r w:rsidRPr="00353F2F">
        <w:rPr>
          <w:rFonts w:ascii="Times New Roman" w:hAnsi="Times New Roman" w:cs="Times New Roman"/>
          <w:sz w:val="24"/>
          <w:szCs w:val="24"/>
        </w:rPr>
        <w:t xml:space="preserve"> observation that the effectiveness of corporate governance mechanisms ultimately depends on the quality of the institutional environment within which they operate provides the appropriate </w:t>
      </w:r>
      <w:r w:rsidRPr="00353F2F">
        <w:rPr>
          <w:rFonts w:ascii="Times New Roman" w:hAnsi="Times New Roman" w:cs="Times New Roman"/>
          <w:sz w:val="24"/>
          <w:szCs w:val="24"/>
        </w:rPr>
        <w:lastRenderedPageBreak/>
        <w:t>analytical conclusion for this chapter’s review of the Nigerian framework: formal governance architecture, however well designed, is only as effective as the institutions responsible for its enforcement.</w:t>
      </w:r>
      <w:r w:rsidRPr="00353F2F">
        <w:rPr>
          <w:rStyle w:val="FootnoteReference"/>
          <w:rFonts w:ascii="Times New Roman" w:hAnsi="Times New Roman" w:cs="Times New Roman"/>
          <w:sz w:val="24"/>
          <w:szCs w:val="24"/>
        </w:rPr>
        <w:footnoteReference w:id="379"/>
      </w:r>
    </w:p>
    <w:p w14:paraId="1C5CDC25" w14:textId="77777777" w:rsidR="00AB7F86" w:rsidRPr="00353F2F" w:rsidRDefault="00AB7F86" w:rsidP="00353F2F">
      <w:pPr>
        <w:spacing w:line="480" w:lineRule="auto"/>
        <w:rPr>
          <w:rFonts w:ascii="Times New Roman" w:hAnsi="Times New Roman" w:cs="Times New Roman"/>
          <w:sz w:val="24"/>
          <w:szCs w:val="24"/>
        </w:rPr>
      </w:pPr>
    </w:p>
    <w:p w14:paraId="317629B8" w14:textId="77777777" w:rsidR="00AB7F86" w:rsidRPr="00353F2F" w:rsidRDefault="00AB7F86" w:rsidP="00353F2F">
      <w:pPr>
        <w:spacing w:before="180" w:after="180" w:line="480" w:lineRule="auto"/>
        <w:jc w:val="both"/>
        <w:rPr>
          <w:rFonts w:ascii="Times New Roman" w:hAnsi="Times New Roman" w:cs="Times New Roman"/>
          <w:sz w:val="24"/>
          <w:szCs w:val="24"/>
        </w:rPr>
      </w:pPr>
    </w:p>
    <w:p w14:paraId="3912D828" w14:textId="71CE6079" w:rsidR="00353F2F" w:rsidRPr="00353F2F" w:rsidRDefault="00353F2F" w:rsidP="00353F2F">
      <w:pPr>
        <w:spacing w:line="480" w:lineRule="auto"/>
        <w:rPr>
          <w:rFonts w:ascii="Times New Roman" w:hAnsi="Times New Roman" w:cs="Times New Roman"/>
          <w:sz w:val="24"/>
          <w:szCs w:val="24"/>
        </w:rPr>
      </w:pPr>
      <w:r w:rsidRPr="00353F2F">
        <w:rPr>
          <w:rFonts w:ascii="Times New Roman" w:hAnsi="Times New Roman" w:cs="Times New Roman"/>
          <w:sz w:val="24"/>
          <w:szCs w:val="24"/>
        </w:rPr>
        <w:br w:type="page"/>
      </w:r>
    </w:p>
    <w:p w14:paraId="4C3A7AE0" w14:textId="77777777" w:rsidR="00353F2F" w:rsidRPr="00353F2F" w:rsidRDefault="00353F2F" w:rsidP="00353F2F">
      <w:pPr>
        <w:spacing w:after="200" w:line="480" w:lineRule="auto"/>
        <w:jc w:val="center"/>
        <w:rPr>
          <w:rFonts w:ascii="Times New Roman" w:hAnsi="Times New Roman" w:cs="Times New Roman"/>
        </w:rPr>
      </w:pPr>
      <w:r w:rsidRPr="00353F2F">
        <w:rPr>
          <w:rFonts w:ascii="Times New Roman" w:hAnsi="Times New Roman" w:cs="Times New Roman"/>
          <w:b/>
          <w:bCs/>
          <w:sz w:val="28"/>
          <w:szCs w:val="28"/>
        </w:rPr>
        <w:lastRenderedPageBreak/>
        <w:t>CHAPTER FOUR</w:t>
      </w:r>
    </w:p>
    <w:p w14:paraId="7A88B98A" w14:textId="77777777" w:rsidR="00353F2F" w:rsidRPr="00353F2F" w:rsidRDefault="00353F2F" w:rsidP="00353F2F">
      <w:pPr>
        <w:spacing w:after="400" w:line="480" w:lineRule="auto"/>
        <w:jc w:val="center"/>
        <w:rPr>
          <w:rFonts w:ascii="Times New Roman" w:hAnsi="Times New Roman" w:cs="Times New Roman"/>
        </w:rPr>
      </w:pPr>
      <w:r w:rsidRPr="00353F2F">
        <w:rPr>
          <w:rFonts w:ascii="Times New Roman" w:hAnsi="Times New Roman" w:cs="Times New Roman"/>
          <w:b/>
          <w:bCs/>
          <w:sz w:val="26"/>
          <w:szCs w:val="26"/>
        </w:rPr>
        <w:t>CHALLENGES AND PROSPECTS OF CORPORATE GOVERNANCE AS A RISK MITIGATION TOOL IN PROJECT FINANCE IN NIGERIA</w:t>
      </w:r>
    </w:p>
    <w:p w14:paraId="6A42DEFD" w14:textId="77777777" w:rsidR="00353F2F" w:rsidRPr="00353F2F" w:rsidRDefault="00353F2F" w:rsidP="00353F2F">
      <w:pPr>
        <w:pStyle w:val="Heading1"/>
        <w:spacing w:line="480" w:lineRule="auto"/>
        <w:rPr>
          <w:sz w:val="24"/>
          <w:szCs w:val="24"/>
        </w:rPr>
      </w:pPr>
      <w:r w:rsidRPr="00353F2F">
        <w:t xml:space="preserve">4.1 </w:t>
      </w:r>
      <w:r w:rsidRPr="00353F2F">
        <w:rPr>
          <w:sz w:val="24"/>
          <w:szCs w:val="24"/>
        </w:rPr>
        <w:t xml:space="preserve">Governance Deficiencies </w:t>
      </w:r>
      <w:proofErr w:type="gramStart"/>
      <w:r w:rsidRPr="00353F2F">
        <w:rPr>
          <w:sz w:val="24"/>
          <w:szCs w:val="24"/>
        </w:rPr>
        <w:t>In</w:t>
      </w:r>
      <w:proofErr w:type="gramEnd"/>
      <w:r w:rsidRPr="00353F2F">
        <w:rPr>
          <w:sz w:val="24"/>
          <w:szCs w:val="24"/>
        </w:rPr>
        <w:t xml:space="preserve"> Nigerian Project Finance</w:t>
      </w:r>
    </w:p>
    <w:p w14:paraId="2271737E"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governance deficiencies that constrain the effectiveness of corporate governance as a risk mitigation tool in Nigerian project finance are neither incidental nor occasional but systemic and structural, rooted in the institutional architecture of the Nigerian state, the historical legacies of the Nigerian corporate environment, and the specific features of Nigerian project finance markets that generate distinctive governance challenges. Nigerian corporate governance is characterized by a persistent and troubling gap between the formal governance architecture and the substantive reality of governance practice, encapsulating the central challenge.</w:t>
      </w:r>
      <w:r w:rsidRPr="00353F2F">
        <w:rPr>
          <w:rStyle w:val="FootnoteReference"/>
          <w:rFonts w:ascii="Times New Roman" w:hAnsi="Times New Roman" w:cs="Times New Roman"/>
        </w:rPr>
        <w:footnoteReference w:id="380"/>
      </w:r>
      <w:r w:rsidRPr="00353F2F">
        <w:rPr>
          <w:rFonts w:ascii="Times New Roman" w:hAnsi="Times New Roman" w:cs="Times New Roman"/>
        </w:rPr>
        <w:t xml:space="preserve"> </w:t>
      </w:r>
    </w:p>
    <w:p w14:paraId="75686B9B" w14:textId="77777777" w:rsidR="00353F2F" w:rsidRPr="00353F2F" w:rsidRDefault="00353F2F" w:rsidP="00353F2F">
      <w:pPr>
        <w:pStyle w:val="Heading2"/>
        <w:spacing w:line="480" w:lineRule="auto"/>
        <w:rPr>
          <w:sz w:val="24"/>
          <w:szCs w:val="24"/>
        </w:rPr>
      </w:pPr>
      <w:r w:rsidRPr="00353F2F">
        <w:t xml:space="preserve">4.1.1 </w:t>
      </w:r>
      <w:r w:rsidRPr="00353F2F">
        <w:rPr>
          <w:sz w:val="24"/>
          <w:szCs w:val="24"/>
        </w:rPr>
        <w:t>Weak Enforcement of Governance Standards</w:t>
      </w:r>
    </w:p>
    <w:p w14:paraId="41F51A69"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Weak enforcement of governance standards is the most pervasive and consequential governance deficiency in Nigerian project finance, serving as the primary mechanism by which the gap between formal governance rules and substantive governance practice is maintained and reproduced. Nigerian SPVs and their sponsors frequently achieve mere compliance, satisfying the formal technical requirements of applicable governance codes without genuinely internalizing the values and practices that those codes are designed to promote.</w:t>
      </w:r>
      <w:r w:rsidRPr="00353F2F">
        <w:rPr>
          <w:rStyle w:val="FootnoteReference"/>
          <w:rFonts w:ascii="Times New Roman" w:hAnsi="Times New Roman" w:cs="Times New Roman"/>
        </w:rPr>
        <w:footnoteReference w:id="381"/>
      </w:r>
      <w:r w:rsidRPr="00353F2F">
        <w:rPr>
          <w:rFonts w:ascii="Times New Roman" w:hAnsi="Times New Roman" w:cs="Times New Roman"/>
        </w:rPr>
        <w:t xml:space="preserve"> Where enforcement of formal governance rules is weak and uncertain, the informal incentives generated by personal relationships, political patronage, and short-term financial pressures tend to dominate, </w:t>
      </w:r>
      <w:r w:rsidRPr="00353F2F">
        <w:rPr>
          <w:rFonts w:ascii="Times New Roman" w:hAnsi="Times New Roman" w:cs="Times New Roman"/>
        </w:rPr>
        <w:lastRenderedPageBreak/>
        <w:t>producing governance behavior that systematically diverges from formal governance standards.</w:t>
      </w:r>
      <w:r w:rsidRPr="00353F2F">
        <w:rPr>
          <w:rStyle w:val="FootnoteReference"/>
          <w:rFonts w:ascii="Times New Roman" w:hAnsi="Times New Roman" w:cs="Times New Roman"/>
        </w:rPr>
        <w:footnoteReference w:id="382"/>
      </w:r>
      <w:r w:rsidRPr="00353F2F">
        <w:rPr>
          <w:rFonts w:ascii="Times New Roman" w:hAnsi="Times New Roman" w:cs="Times New Roman"/>
        </w:rPr>
        <w:t xml:space="preserve"> This institutional dynamic creates a governance environment in which the elaborate formal governance architecture established by Nigerian law, CAMA 2020, the NCCG 2018, the CBN Code, and the sectoral governance requirements of the NERC, NUPRC, and ICRC, fails to generate the governance behavior it prescribes because the enforcement consequences of non-compliance are insufficient to outweigh the short-term advantages of governance avoidance.</w:t>
      </w:r>
      <w:r w:rsidRPr="00353F2F">
        <w:rPr>
          <w:rStyle w:val="FootnoteReference"/>
          <w:rFonts w:ascii="Times New Roman" w:hAnsi="Times New Roman" w:cs="Times New Roman"/>
        </w:rPr>
        <w:footnoteReference w:id="383"/>
      </w:r>
    </w:p>
    <w:p w14:paraId="730306C8"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institutional capacity limitations of regulatory bodies charged with governance enforcement, the political pressures that compromise the independence of regulatory enforcement in commercially and politically sensitive contexts, and the inadequacy of the judicial system for the rapid and effective resolution of governance disputes.</w:t>
      </w:r>
      <w:r w:rsidRPr="00353F2F">
        <w:rPr>
          <w:rStyle w:val="FootnoteReference"/>
          <w:rFonts w:ascii="Times New Roman" w:hAnsi="Times New Roman" w:cs="Times New Roman"/>
        </w:rPr>
        <w:footnoteReference w:id="384"/>
      </w:r>
      <w:r w:rsidRPr="00353F2F">
        <w:rPr>
          <w:rFonts w:ascii="Times New Roman" w:hAnsi="Times New Roman" w:cs="Times New Roman"/>
        </w:rPr>
        <w:t xml:space="preserve"> The FRCN, as the apex governance standard-setter, has the statutory authority to investigate and sanction governance violations but has historically lacked the staffing, technical expertise, and political independence needed to exercise these powers robustly.</w:t>
      </w:r>
      <w:r w:rsidRPr="00353F2F">
        <w:rPr>
          <w:rStyle w:val="FootnoteReference"/>
          <w:rFonts w:ascii="Times New Roman" w:hAnsi="Times New Roman" w:cs="Times New Roman"/>
        </w:rPr>
        <w:footnoteReference w:id="385"/>
      </w:r>
      <w:r w:rsidRPr="00353F2F">
        <w:rPr>
          <w:rFonts w:ascii="Times New Roman" w:hAnsi="Times New Roman" w:cs="Times New Roman"/>
        </w:rPr>
        <w:t xml:space="preserve"> Enforcement actions have tended to be concentrated on politically less-connected entities, while governance violations by politically well-connected companies and their directors have been treated with leniency that contradicts the formal equality of the law.</w:t>
      </w:r>
      <w:r w:rsidRPr="00353F2F">
        <w:rPr>
          <w:rStyle w:val="FootnoteReference"/>
          <w:rFonts w:ascii="Times New Roman" w:hAnsi="Times New Roman" w:cs="Times New Roman"/>
        </w:rPr>
        <w:footnoteReference w:id="386"/>
      </w:r>
      <w:r w:rsidRPr="00353F2F">
        <w:rPr>
          <w:rFonts w:ascii="Times New Roman" w:hAnsi="Times New Roman" w:cs="Times New Roman"/>
        </w:rPr>
        <w:t xml:space="preserve"> The ICPC's mandate to investigate and prosecute corruption and governance violations in the private sector, while providing an additional enforcement mechanism, has been constrained by capacity limitations and by the reluctance of private-sector entities to cooperate with investigations.</w:t>
      </w:r>
      <w:r w:rsidRPr="00353F2F">
        <w:rPr>
          <w:rStyle w:val="FootnoteReference"/>
          <w:rFonts w:ascii="Times New Roman" w:hAnsi="Times New Roman" w:cs="Times New Roman"/>
        </w:rPr>
        <w:footnoteReference w:id="387"/>
      </w:r>
      <w:r w:rsidRPr="00353F2F">
        <w:rPr>
          <w:rFonts w:ascii="Times New Roman" w:hAnsi="Times New Roman" w:cs="Times New Roman"/>
        </w:rPr>
        <w:t xml:space="preserve"> Transparency International's Corruption Perceptions Index consistently ranks Nigeria in the lower quartile </w:t>
      </w:r>
      <w:r w:rsidRPr="00353F2F">
        <w:rPr>
          <w:rFonts w:ascii="Times New Roman" w:hAnsi="Times New Roman" w:cs="Times New Roman"/>
        </w:rPr>
        <w:lastRenderedPageBreak/>
        <w:t>of governance performance globally, reflecting the systemic governance enforcement failures that compound the structural weaknesses of the formal governance framework.</w:t>
      </w:r>
      <w:r w:rsidRPr="00353F2F">
        <w:rPr>
          <w:rStyle w:val="FootnoteReference"/>
          <w:rFonts w:ascii="Times New Roman" w:hAnsi="Times New Roman" w:cs="Times New Roman"/>
        </w:rPr>
        <w:footnoteReference w:id="388"/>
      </w:r>
    </w:p>
    <w:p w14:paraId="56282249"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In the project finance framework, enforcement weakness manifests in several particularly damaging ways. CAMA 2020's provisions on the striking off of non-compliant companies and the investigation of governance violations are inconsistently applied, allowing project companies to operate in breach of statutory governance requirements without facing timely enforcement.</w:t>
      </w:r>
      <w:r w:rsidRPr="00353F2F">
        <w:rPr>
          <w:rStyle w:val="FootnoteReference"/>
          <w:rFonts w:ascii="Times New Roman" w:hAnsi="Times New Roman" w:cs="Times New Roman"/>
        </w:rPr>
        <w:footnoteReference w:id="389"/>
      </w:r>
      <w:r w:rsidRPr="00353F2F">
        <w:rPr>
          <w:rFonts w:ascii="Times New Roman" w:hAnsi="Times New Roman" w:cs="Times New Roman"/>
        </w:rPr>
        <w:t xml:space="preserve"> </w:t>
      </w:r>
      <w:r w:rsidRPr="00353F2F">
        <w:rPr>
          <w:rFonts w:ascii="Times New Roman" w:hAnsi="Times New Roman" w:cs="Times New Roman"/>
          <w:highlight w:val="yellow"/>
        </w:rPr>
        <w:t>Ifeoma's</w:t>
      </w:r>
      <w:r w:rsidRPr="00353F2F">
        <w:rPr>
          <w:rFonts w:ascii="Times New Roman" w:hAnsi="Times New Roman" w:cs="Times New Roman"/>
        </w:rPr>
        <w:t xml:space="preserve"> empirical research demonstrates that the intensity of regulatory enforcement, rather than the severity of penalties prescribed by applicable governance codes, is the most significant determinant of governance compliance quality, suggesting that improving enforcement consistency would yield greater governance benefits than merely increasing penalty levels.</w:t>
      </w:r>
      <w:r w:rsidRPr="00353F2F">
        <w:rPr>
          <w:rStyle w:val="FootnoteReference"/>
          <w:rFonts w:ascii="Times New Roman" w:hAnsi="Times New Roman" w:cs="Times New Roman"/>
        </w:rPr>
        <w:footnoteReference w:id="390"/>
      </w:r>
      <w:r w:rsidRPr="00353F2F">
        <w:rPr>
          <w:rFonts w:ascii="Times New Roman" w:hAnsi="Times New Roman" w:cs="Times New Roman"/>
        </w:rPr>
        <w:t xml:space="preserve"> Also, the audit qualification rates for Nigerian companies, a primary indicator of audit quality enforcement, are significantly below those observed in comparable jurisdictions with stronger audit oversight institutions, reflecting weaknesses in professional and regulatory enforcement of auditing standards.</w:t>
      </w:r>
      <w:r w:rsidRPr="00353F2F">
        <w:rPr>
          <w:rStyle w:val="FootnoteReference"/>
          <w:rFonts w:ascii="Times New Roman" w:hAnsi="Times New Roman" w:cs="Times New Roman"/>
        </w:rPr>
        <w:footnoteReference w:id="391"/>
      </w:r>
      <w:r w:rsidRPr="00353F2F">
        <w:rPr>
          <w:rFonts w:ascii="Times New Roman" w:hAnsi="Times New Roman" w:cs="Times New Roman"/>
        </w:rPr>
        <w:t xml:space="preserve"> Furthermore, governance enforcement weakness enables companies to engage in ceremonial governance adoption, implementing governance structures that satisfy the formal requirements of applicable codes while serving primarily as legitimacy signals to external audiences, rather than as genuine governance mechanisms that shape internal behavior.</w:t>
      </w:r>
      <w:r w:rsidRPr="00353F2F">
        <w:rPr>
          <w:rStyle w:val="FootnoteReference"/>
          <w:rFonts w:ascii="Times New Roman" w:hAnsi="Times New Roman" w:cs="Times New Roman"/>
        </w:rPr>
        <w:footnoteReference w:id="392"/>
      </w:r>
      <w:r w:rsidRPr="00353F2F">
        <w:rPr>
          <w:rFonts w:ascii="Times New Roman" w:hAnsi="Times New Roman" w:cs="Times New Roman"/>
        </w:rPr>
        <w:t xml:space="preserve"> Likewise, the combination of credible external enforcement, with sufficiently severe and consistently applied sanctions to make non-compliance economically irrational, and institutional incentives for regulated entities to develop robust internal </w:t>
      </w:r>
      <w:r w:rsidRPr="00353F2F">
        <w:rPr>
          <w:rFonts w:ascii="Times New Roman" w:hAnsi="Times New Roman" w:cs="Times New Roman"/>
        </w:rPr>
        <w:lastRenderedPageBreak/>
        <w:t>governance systems that generate substantive compliance from within.</w:t>
      </w:r>
      <w:r w:rsidRPr="00353F2F">
        <w:rPr>
          <w:rStyle w:val="FootnoteReference"/>
          <w:rFonts w:ascii="Times New Roman" w:hAnsi="Times New Roman" w:cs="Times New Roman"/>
        </w:rPr>
        <w:footnoteReference w:id="393"/>
      </w:r>
      <w:r w:rsidRPr="00353F2F">
        <w:rPr>
          <w:rFonts w:ascii="Times New Roman" w:hAnsi="Times New Roman" w:cs="Times New Roman"/>
        </w:rPr>
        <w:t xml:space="preserve"> Finally, without a fundamental improvement in the quality and consistency of governance enforcement in Nigeria, governance reform initiatives, however well-designed in formal terms, will continue to produce governance frameworks that are impressive on paper but ineffective in practice.</w:t>
      </w:r>
      <w:r w:rsidRPr="00353F2F">
        <w:rPr>
          <w:rStyle w:val="FootnoteReference"/>
          <w:rFonts w:ascii="Times New Roman" w:hAnsi="Times New Roman" w:cs="Times New Roman"/>
        </w:rPr>
        <w:footnoteReference w:id="394"/>
      </w:r>
      <w:r w:rsidRPr="00353F2F">
        <w:rPr>
          <w:rFonts w:ascii="Times New Roman" w:hAnsi="Times New Roman" w:cs="Times New Roman"/>
        </w:rPr>
        <w:t xml:space="preserve"> The remedy requires not merely legislative reform but also institutional capacity building in the FRCN, CAC, SEC, CBN, and the judiciary, and investments in institutional governance quality that will yield returns over a sustained period of institutional development.</w:t>
      </w:r>
      <w:r w:rsidRPr="00353F2F">
        <w:rPr>
          <w:rStyle w:val="FootnoteReference"/>
          <w:rFonts w:ascii="Times New Roman" w:hAnsi="Times New Roman" w:cs="Times New Roman"/>
        </w:rPr>
        <w:footnoteReference w:id="395"/>
      </w:r>
    </w:p>
    <w:p w14:paraId="5CB83FA2" w14:textId="77777777" w:rsidR="00353F2F" w:rsidRPr="00353F2F" w:rsidRDefault="00353F2F" w:rsidP="00353F2F">
      <w:pPr>
        <w:pStyle w:val="Heading2"/>
        <w:spacing w:line="480" w:lineRule="auto"/>
      </w:pPr>
      <w:r w:rsidRPr="00353F2F">
        <w:t>4.1.2 Institutional Regulatory Gaps</w:t>
      </w:r>
    </w:p>
    <w:p w14:paraId="236E0005"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Institutional regulatory gaps constitute the second major category of governance deficiency in Nigerian project finance, arising from a fragmented, overlapping, and, in some areas, incomplete regulatory framework that governs project finance transactions and their participants. The World Bank ROSC Report for Nigeria identifies regulatory fragmentation as one of the most significant structural weaknesses of the Nigerian governance framework, noting that the division of governance oversight responsibilities among the FRCN, the CAC, the CBN, the SEC, and multiple sectoral regulators creates coordination failures, regulatory arbitrage opportunities, and compliance complexity that reduce the effectiveness of the overall governance architecture.</w:t>
      </w:r>
      <w:r w:rsidRPr="00353F2F">
        <w:rPr>
          <w:rStyle w:val="FootnoteReference"/>
          <w:rFonts w:ascii="Times New Roman" w:hAnsi="Times New Roman" w:cs="Times New Roman"/>
        </w:rPr>
        <w:footnoteReference w:id="396"/>
      </w:r>
    </w:p>
    <w:p w14:paraId="4E03954F"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Institutional regulatory gaps manifest at multiple levels, at the institutional level, the ICRC's limited technical capacity for evaluating the governance adequacy of proposed project finance structures, including the quality of SPV governance arrangements, the adequacy of environmental and social management frameworks, and the robustness of risk allocation arrangements, creates gaps in the extant governance </w:t>
      </w:r>
      <w:r w:rsidRPr="00353F2F">
        <w:rPr>
          <w:rFonts w:ascii="Times New Roman" w:hAnsi="Times New Roman" w:cs="Times New Roman"/>
        </w:rPr>
        <w:lastRenderedPageBreak/>
        <w:t>review of infrastructure concession transactions that can result in poorly governed projects receiving regulatory approval.</w:t>
      </w:r>
      <w:r w:rsidRPr="00353F2F">
        <w:rPr>
          <w:rStyle w:val="FootnoteReference"/>
          <w:rFonts w:ascii="Times New Roman" w:hAnsi="Times New Roman" w:cs="Times New Roman"/>
        </w:rPr>
        <w:footnoteReference w:id="397"/>
      </w:r>
      <w:r w:rsidRPr="00353F2F">
        <w:rPr>
          <w:rFonts w:ascii="Times New Roman" w:hAnsi="Times New Roman" w:cs="Times New Roman"/>
        </w:rPr>
        <w:t xml:space="preserve"> At the sectoral regulatory level, the NERC's historically limited capacity for enforcing governance standards among electricity sector licensees, including the distribution companies whose governance failures have been primary contributors to the bankability problems of the Nigerian power sector, represents a critical institutional regulatory gap with direct consequences for the bankability of power generation project finance.</w:t>
      </w:r>
      <w:r w:rsidRPr="00353F2F">
        <w:rPr>
          <w:rStyle w:val="FootnoteReference"/>
          <w:rFonts w:ascii="Times New Roman" w:hAnsi="Times New Roman" w:cs="Times New Roman"/>
        </w:rPr>
        <w:footnoteReference w:id="398"/>
      </w:r>
      <w:r w:rsidRPr="00353F2F">
        <w:rPr>
          <w:rFonts w:ascii="Times New Roman" w:hAnsi="Times New Roman" w:cs="Times New Roman"/>
        </w:rPr>
        <w:t xml:space="preserve"> The NERC's regulatory framework for bankability assessment, while establishing important governance benchmarks, has been inconsistently applied, creating regulatory uncertainty that lenders find difficult to factor into their credit assessments.</w:t>
      </w:r>
      <w:r w:rsidRPr="00353F2F">
        <w:rPr>
          <w:rStyle w:val="FootnoteReference"/>
          <w:rFonts w:ascii="Times New Roman" w:hAnsi="Times New Roman" w:cs="Times New Roman"/>
        </w:rPr>
        <w:footnoteReference w:id="399"/>
      </w:r>
      <w:r w:rsidRPr="00353F2F">
        <w:rPr>
          <w:rFonts w:ascii="Times New Roman" w:hAnsi="Times New Roman" w:cs="Times New Roman"/>
        </w:rPr>
        <w:t xml:space="preserve"> </w:t>
      </w:r>
    </w:p>
    <w:p w14:paraId="7A83DB33"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legislative framework itself contains gaps that create governance uncertainty in project finance transactions. The Petroleum Industry Act 2021, while representing a landmark legislative reform of the oil and gas sector governance framework, has introduced new regulatory institutions, the NUPRC and the NMDPRA, whose governance frameworks are still being developed, creating transitional governance uncertainty for upstream and midstream project finance transactions.</w:t>
      </w:r>
      <w:r w:rsidRPr="00353F2F">
        <w:rPr>
          <w:rStyle w:val="FootnoteReference"/>
          <w:rFonts w:ascii="Times New Roman" w:hAnsi="Times New Roman" w:cs="Times New Roman"/>
        </w:rPr>
        <w:footnoteReference w:id="400"/>
      </w:r>
      <w:r w:rsidRPr="00353F2F">
        <w:rPr>
          <w:rFonts w:ascii="Times New Roman" w:hAnsi="Times New Roman" w:cs="Times New Roman"/>
        </w:rPr>
        <w:t xml:space="preserve">  The absence of a comprehensive and coherent statutory framework for project finance as a distinct financing technique, as opposed to the patchwork of general company law, banking law, capital market regulation, and sectoral legislation that currently applies, creates legal uncertainty about the governance requirements applicable to project finance SPVs and the priority of lender rights that reduces the attractiveness of Nigerian project finance for risk-averse international lenders.</w:t>
      </w:r>
      <w:r w:rsidRPr="00353F2F">
        <w:rPr>
          <w:rStyle w:val="FootnoteReference"/>
          <w:rFonts w:ascii="Times New Roman" w:hAnsi="Times New Roman" w:cs="Times New Roman"/>
        </w:rPr>
        <w:footnoteReference w:id="401"/>
      </w:r>
      <w:r w:rsidRPr="00353F2F">
        <w:rPr>
          <w:rFonts w:ascii="Times New Roman" w:hAnsi="Times New Roman" w:cs="Times New Roman"/>
        </w:rPr>
        <w:t xml:space="preserve"> The Secured Transactions in Movable Assets Act 2017, while significantly improving the security interest framework, has not been fully operationalized across all categories of project assets, leaving gaps in the collateral governance framework that continue to constrain lender appetite.</w:t>
      </w:r>
      <w:r w:rsidRPr="00353F2F">
        <w:rPr>
          <w:rStyle w:val="FootnoteReference"/>
          <w:rFonts w:ascii="Times New Roman" w:hAnsi="Times New Roman" w:cs="Times New Roman"/>
        </w:rPr>
        <w:footnoteReference w:id="402"/>
      </w:r>
      <w:r w:rsidRPr="00353F2F">
        <w:rPr>
          <w:rFonts w:ascii="Times New Roman" w:hAnsi="Times New Roman" w:cs="Times New Roman"/>
        </w:rPr>
        <w:t xml:space="preserve"> </w:t>
      </w:r>
      <w:r w:rsidRPr="00353F2F">
        <w:rPr>
          <w:rFonts w:ascii="Times New Roman" w:hAnsi="Times New Roman" w:cs="Times New Roman"/>
        </w:rPr>
        <w:lastRenderedPageBreak/>
        <w:t>The adoption of a unified governance code specifically applicable to project SPVs, building on but distinct from the general company governance framework, would represent a significant institutional innovation that addresses many of the regulatory gap concerns identified above.</w:t>
      </w:r>
      <w:r w:rsidRPr="00353F2F">
        <w:rPr>
          <w:rStyle w:val="FootnoteReference"/>
          <w:rFonts w:ascii="Times New Roman" w:hAnsi="Times New Roman" w:cs="Times New Roman"/>
        </w:rPr>
        <w:footnoteReference w:id="403"/>
      </w:r>
      <w:r w:rsidRPr="00353F2F">
        <w:rPr>
          <w:rFonts w:ascii="Times New Roman" w:hAnsi="Times New Roman" w:cs="Times New Roman"/>
        </w:rPr>
        <w:t xml:space="preserve"> </w:t>
      </w:r>
    </w:p>
    <w:p w14:paraId="2F7D3C1F" w14:textId="77777777" w:rsidR="00353F2F" w:rsidRPr="00353F2F" w:rsidRDefault="00353F2F" w:rsidP="00353F2F">
      <w:pPr>
        <w:pStyle w:val="Heading2"/>
        <w:spacing w:line="480" w:lineRule="auto"/>
      </w:pPr>
      <w:r w:rsidRPr="00353F2F">
        <w:t>4.1.3 Political and Regulatory Risks</w:t>
      </w:r>
    </w:p>
    <w:p w14:paraId="72785031"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Political and regulatory risks constitute the third major category of governance deficiency in Nigerian project finance, arising not from the inadequacy of governance structures within individual project companies but from the characteristics of the broader political and institutional environment in which Nigerian project finance operates. Political risk in the project finance context is the risk of adverse government action, including expropriation, regulatory change, currency restrictions, contract repudiation, and political violence, that impairs the project's ability to generate the revenues needed to service its debt obligations.</w:t>
      </w:r>
      <w:r w:rsidRPr="00353F2F">
        <w:rPr>
          <w:rStyle w:val="FootnoteReference"/>
          <w:rFonts w:ascii="Times New Roman" w:hAnsi="Times New Roman" w:cs="Times New Roman"/>
        </w:rPr>
        <w:footnoteReference w:id="404"/>
      </w:r>
      <w:r w:rsidRPr="00353F2F">
        <w:rPr>
          <w:rFonts w:ascii="Times New Roman" w:hAnsi="Times New Roman" w:cs="Times New Roman"/>
        </w:rPr>
        <w:t xml:space="preserve"> In Nigeria, political risk is not a theoretical or remote possibility but a pervasive feature of the operating environment, rooted in the structural characteristics of the Nigerian state, including the dominance of the executive branch in economic governance, the susceptibility of regulatory agencies to political direction, the instability of sector-specific policy frameworks, and the contested relationship between the federal government and state governments over resource revenues and infrastructure governance.</w:t>
      </w:r>
      <w:r w:rsidRPr="00353F2F">
        <w:rPr>
          <w:rStyle w:val="FootnoteReference"/>
          <w:rFonts w:ascii="Times New Roman" w:hAnsi="Times New Roman" w:cs="Times New Roman"/>
        </w:rPr>
        <w:footnoteReference w:id="405"/>
      </w:r>
    </w:p>
    <w:p w14:paraId="0CA96D54"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MIGA's World Investment and Political Risk Report consistently identifies Nigeria among the developing country markets with the highest levels of political risk for foreign direct investment, reflecting the elevated risks of regulatory unpredictability, contract repudiation, and political violence that characterize the Nigerian operating environment.</w:t>
      </w:r>
      <w:r w:rsidRPr="00353F2F">
        <w:rPr>
          <w:rStyle w:val="FootnoteReference"/>
          <w:rFonts w:ascii="Times New Roman" w:hAnsi="Times New Roman" w:cs="Times New Roman"/>
        </w:rPr>
        <w:footnoteReference w:id="406"/>
      </w:r>
      <w:r w:rsidRPr="00353F2F">
        <w:rPr>
          <w:rFonts w:ascii="Times New Roman" w:hAnsi="Times New Roman" w:cs="Times New Roman"/>
        </w:rPr>
        <w:t xml:space="preserve"> The Petroleum Industry Act 2021's restructuring of the </w:t>
      </w:r>
      <w:r w:rsidRPr="00353F2F">
        <w:rPr>
          <w:rFonts w:ascii="Times New Roman" w:hAnsi="Times New Roman" w:cs="Times New Roman"/>
        </w:rPr>
        <w:lastRenderedPageBreak/>
        <w:t>governance framework for the oil and gas sector, creating new regulatory institutions, revising fiscal terms, and reforming the host community development framework, while generally positive in its governance implications, has introduced a period of transitional political and regulatory uncertainty that has deterred new upstream project finance commitments pending the full operationalization of the new institutional framework.</w:t>
      </w:r>
      <w:r w:rsidRPr="00353F2F">
        <w:rPr>
          <w:rStyle w:val="FootnoteReference"/>
          <w:rFonts w:ascii="Times New Roman" w:hAnsi="Times New Roman" w:cs="Times New Roman"/>
        </w:rPr>
        <w:footnoteReference w:id="407"/>
      </w:r>
      <w:r w:rsidRPr="00353F2F">
        <w:rPr>
          <w:rFonts w:ascii="Times New Roman" w:hAnsi="Times New Roman" w:cs="Times New Roman"/>
        </w:rPr>
        <w:t xml:space="preserve"> The documentation of the governance failures that generated the Niger Delta security crisis provides a striking case study of the consequences of political risk mismanagement in Nigerian project finance which is the systemic exclusion of host communities from the benefits of resource extraction, combined with the Nigerian government's governance failures in addressing community grievances, generated a political risk environment that significantly impaired the viability of upstream oil and gas project finance in the region.</w:t>
      </w:r>
      <w:r w:rsidRPr="00353F2F">
        <w:rPr>
          <w:rStyle w:val="FootnoteReference"/>
          <w:rFonts w:ascii="Times New Roman" w:hAnsi="Times New Roman" w:cs="Times New Roman"/>
        </w:rPr>
        <w:footnoteReference w:id="408"/>
      </w:r>
    </w:p>
    <w:p w14:paraId="5AD3D700"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CBN's foreign exchange guidelines, while providing a formal framework for foreign exchange access and repatriation, have been applied inconsistently and are subject to administrative interpretation, creating legal and governance uncertainty for project finance lenders.</w:t>
      </w:r>
      <w:r w:rsidRPr="00353F2F">
        <w:rPr>
          <w:rStyle w:val="FootnoteReference"/>
          <w:rFonts w:ascii="Times New Roman" w:hAnsi="Times New Roman" w:cs="Times New Roman"/>
        </w:rPr>
        <w:footnoteReference w:id="409"/>
      </w:r>
      <w:r w:rsidRPr="00353F2F">
        <w:rPr>
          <w:rFonts w:ascii="Times New Roman" w:hAnsi="Times New Roman" w:cs="Times New Roman"/>
        </w:rPr>
        <w:t xml:space="preserve"> The most effective strategy for managing political risk in Nigerian project finance is not merely the procurement of political risk insurance or the negotiation of stabilization clauses in concession agreements, but the genuine improvement of governance quality at the institutional level, ensuring that regulatory agencies operate transparently, consistently, and in accordance with the rule of law, rather than in response to political direction or personal interests.</w:t>
      </w:r>
      <w:r w:rsidRPr="00353F2F">
        <w:rPr>
          <w:rStyle w:val="FootnoteReference"/>
          <w:rFonts w:ascii="Times New Roman" w:hAnsi="Times New Roman" w:cs="Times New Roman"/>
        </w:rPr>
        <w:footnoteReference w:id="410"/>
      </w:r>
      <w:r w:rsidRPr="00353F2F">
        <w:rPr>
          <w:rFonts w:ascii="Times New Roman" w:hAnsi="Times New Roman" w:cs="Times New Roman"/>
        </w:rPr>
        <w:t xml:space="preserve">  The governance imperative is therefore not merely to manage political risk ex post through contractual and insurance mechanisms but to reduce political risk ex ante through institutional governance reform, strengthening the independence, transparency, and predictability of regulatory governance, in ways that </w:t>
      </w:r>
      <w:r w:rsidRPr="00353F2F">
        <w:rPr>
          <w:rFonts w:ascii="Times New Roman" w:hAnsi="Times New Roman" w:cs="Times New Roman"/>
        </w:rPr>
        <w:lastRenderedPageBreak/>
        <w:t>eliminate the conditions that generate political risk in the first place.</w:t>
      </w:r>
      <w:r w:rsidRPr="00353F2F">
        <w:rPr>
          <w:rStyle w:val="FootnoteReference"/>
          <w:rFonts w:ascii="Times New Roman" w:hAnsi="Times New Roman" w:cs="Times New Roman"/>
        </w:rPr>
        <w:footnoteReference w:id="411"/>
      </w:r>
      <w:r w:rsidRPr="00353F2F">
        <w:rPr>
          <w:rFonts w:ascii="Times New Roman" w:hAnsi="Times New Roman" w:cs="Times New Roman"/>
        </w:rPr>
        <w:t xml:space="preserve"> Recommendations on a comprehensive political risk governance reform agenda centered on three pillars: strengthening the statutory independence of key regulatory agencies from executive interference; improving the transparency and accountability of regulatory decision-making processes; and developing robust administrative law frameworks that constrain the discretion of regulatory agencies and provide affected parties with effective judicial review of regulatory decisions.</w:t>
      </w:r>
      <w:r w:rsidRPr="00353F2F">
        <w:rPr>
          <w:rStyle w:val="FootnoteReference"/>
          <w:rFonts w:ascii="Times New Roman" w:hAnsi="Times New Roman" w:cs="Times New Roman"/>
        </w:rPr>
        <w:footnoteReference w:id="412"/>
      </w:r>
      <w:r w:rsidRPr="00353F2F">
        <w:rPr>
          <w:rFonts w:ascii="Times New Roman" w:hAnsi="Times New Roman" w:cs="Times New Roman"/>
        </w:rPr>
        <w:t xml:space="preserve"> </w:t>
      </w:r>
    </w:p>
    <w:p w14:paraId="0BEC10A4" w14:textId="77777777" w:rsidR="00353F2F" w:rsidRPr="00353F2F" w:rsidRDefault="00353F2F" w:rsidP="00353F2F">
      <w:pPr>
        <w:spacing w:before="180" w:after="180" w:line="480" w:lineRule="auto"/>
        <w:jc w:val="both"/>
        <w:rPr>
          <w:rFonts w:ascii="Times New Roman" w:hAnsi="Times New Roman" w:cs="Times New Roman"/>
          <w:sz w:val="24"/>
          <w:szCs w:val="24"/>
        </w:rPr>
      </w:pPr>
      <w:r w:rsidRPr="00353F2F">
        <w:rPr>
          <w:rFonts w:ascii="Times New Roman" w:hAnsi="Times New Roman" w:cs="Times New Roman"/>
          <w:b/>
          <w:bCs/>
          <w:sz w:val="24"/>
          <w:szCs w:val="24"/>
        </w:rPr>
        <w:t>4.1.4 Corporate Accountability Issues</w:t>
      </w:r>
    </w:p>
    <w:p w14:paraId="7A471DCB"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Corporate accountability, the obligation of directors, managers, and shareholders to be answerable for the decisions and actions they take in the exercise of corporate power, is the fourth major category of governance deficiency in Nigerian project finance, encompassing a set of failures in the internal and external accountability mechanisms of project companies and their sponsors that reduce governance quality and increase project risk.</w:t>
      </w:r>
      <w:r w:rsidRPr="00353F2F">
        <w:rPr>
          <w:rStyle w:val="FootnoteReference"/>
          <w:rFonts w:ascii="Times New Roman" w:hAnsi="Times New Roman" w:cs="Times New Roman"/>
        </w:rPr>
        <w:footnoteReference w:id="413"/>
      </w:r>
      <w:r w:rsidRPr="00353F2F">
        <w:rPr>
          <w:rFonts w:ascii="Times New Roman" w:hAnsi="Times New Roman" w:cs="Times New Roman"/>
        </w:rPr>
        <w:t xml:space="preserve"> The separation of ownership and control is the fundamental source of accountability failures in corporations, arguing that managers who are inadequately monitored and insufficiently incentivized will systematically pursue their own interests at the expense of shareholders and creditors.</w:t>
      </w:r>
      <w:r w:rsidRPr="00353F2F">
        <w:rPr>
          <w:rStyle w:val="FootnoteReference"/>
          <w:rFonts w:ascii="Times New Roman" w:hAnsi="Times New Roman" w:cs="Times New Roman"/>
        </w:rPr>
        <w:footnoteReference w:id="414"/>
      </w:r>
      <w:r w:rsidRPr="00353F2F">
        <w:rPr>
          <w:rFonts w:ascii="Times New Roman" w:hAnsi="Times New Roman" w:cs="Times New Roman"/>
        </w:rPr>
        <w:t xml:space="preserve"> The specific form of accountability failure varies systematically across different governance environments: in environments with weak legal investor protections, accountability failures tend to take the form of direct expropriation, tunneling of assets, related-party transactions at non-arm's-length terms, and fraudulent financial reporting, rather than the more subtle agency problems of managerial shirking and </w:t>
      </w:r>
      <w:r w:rsidRPr="00353F2F">
        <w:rPr>
          <w:rFonts w:ascii="Times New Roman" w:hAnsi="Times New Roman" w:cs="Times New Roman"/>
        </w:rPr>
        <w:lastRenderedPageBreak/>
        <w:t>empire-building that characterize governance failures in jurisdictions with stronger investor protections.</w:t>
      </w:r>
      <w:r w:rsidRPr="00353F2F">
        <w:rPr>
          <w:rStyle w:val="FootnoteReference"/>
          <w:rFonts w:ascii="Times New Roman" w:hAnsi="Times New Roman" w:cs="Times New Roman"/>
        </w:rPr>
        <w:footnoteReference w:id="415"/>
      </w:r>
      <w:r w:rsidRPr="00353F2F">
        <w:rPr>
          <w:rFonts w:ascii="Times New Roman" w:hAnsi="Times New Roman" w:cs="Times New Roman"/>
        </w:rPr>
        <w:t xml:space="preserve"> Both forms of accountability failure are documented in Nigerian project companies, with the particular form varying depending on the ownership concentration and governance quality of the individual project sponsor.</w:t>
      </w:r>
      <w:r w:rsidRPr="00353F2F">
        <w:rPr>
          <w:rStyle w:val="FootnoteReference"/>
          <w:rFonts w:ascii="Times New Roman" w:hAnsi="Times New Roman" w:cs="Times New Roman"/>
        </w:rPr>
        <w:footnoteReference w:id="416"/>
      </w:r>
    </w:p>
    <w:p w14:paraId="154EFA1F"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CAMA 2020's codification of director duties, while providing a clearer statutory basis for director accountability than previously existed, has not yet been accompanied by robust judicial enforcement, partly due to the limited case law on director liability that has developed under the new Act, and partly due to the structural weaknesses of commercial litigation in Nigeria.</w:t>
      </w:r>
      <w:r w:rsidRPr="00353F2F">
        <w:rPr>
          <w:rStyle w:val="FootnoteReference"/>
          <w:rFonts w:ascii="Times New Roman" w:hAnsi="Times New Roman" w:cs="Times New Roman"/>
        </w:rPr>
        <w:footnoteReference w:id="417"/>
      </w:r>
      <w:r w:rsidRPr="00353F2F">
        <w:rPr>
          <w:rFonts w:ascii="Times New Roman" w:hAnsi="Times New Roman" w:cs="Times New Roman"/>
        </w:rPr>
        <w:t xml:space="preserve"> The Act's requirement for directors to disclose their personal interests in transactions involving the company provides an important accountability mechanism, but its effectiveness depends on the willingness of independent directors and audit committees to require genuine disclosure and to challenge transactions that appear to favor directors' interests over the company's.</w:t>
      </w:r>
      <w:r w:rsidRPr="00353F2F">
        <w:rPr>
          <w:rStyle w:val="FootnoteReference"/>
          <w:rFonts w:ascii="Times New Roman" w:hAnsi="Times New Roman" w:cs="Times New Roman"/>
        </w:rPr>
        <w:footnoteReference w:id="418"/>
      </w:r>
      <w:r w:rsidRPr="00353F2F">
        <w:rPr>
          <w:rFonts w:ascii="Times New Roman" w:hAnsi="Times New Roman" w:cs="Times New Roman"/>
        </w:rPr>
        <w:t xml:space="preserve"> Observations that the effective separation of management and control, through the separation of the board chairman and CEO roles, the appointment of genuinely independent non-executive directors, and the establishment of independent board committees, is essential for effective corporate accountability in organizations with dispersed ownership, provide the theoretical basis for the board-level accountability governance requirements of the NCCG 2018 and the CBN Code.</w:t>
      </w:r>
      <w:r w:rsidRPr="00353F2F">
        <w:rPr>
          <w:rStyle w:val="FootnoteReference"/>
          <w:rFonts w:ascii="Times New Roman" w:hAnsi="Times New Roman" w:cs="Times New Roman"/>
        </w:rPr>
        <w:footnoteReference w:id="419"/>
      </w:r>
      <w:r w:rsidRPr="00353F2F">
        <w:rPr>
          <w:rFonts w:ascii="Times New Roman" w:hAnsi="Times New Roman" w:cs="Times New Roman"/>
        </w:rPr>
        <w:t xml:space="preserve"> Assessments of board performance as the most critical determinant of corporate accountability quality are particularly salient in the Nigerian project finance context, where the board of the project company is the primary internal accountability </w:t>
      </w:r>
      <w:r w:rsidRPr="00353F2F">
        <w:rPr>
          <w:rFonts w:ascii="Times New Roman" w:hAnsi="Times New Roman" w:cs="Times New Roman"/>
        </w:rPr>
        <w:lastRenderedPageBreak/>
        <w:t>mechanism, the institutional body responsible for holding project management to account for the governance, financial, and operational performance of the project.</w:t>
      </w:r>
      <w:r w:rsidRPr="00353F2F">
        <w:rPr>
          <w:rStyle w:val="FootnoteReference"/>
          <w:rFonts w:ascii="Times New Roman" w:hAnsi="Times New Roman" w:cs="Times New Roman"/>
        </w:rPr>
        <w:footnoteReference w:id="420"/>
      </w:r>
    </w:p>
    <w:p w14:paraId="11DE3707"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 BOFIA 2020's enhanced requirements for governance accountability in banks, including expanded disclosure obligations, strengthened audit committee powers, and enhanced CBN enforcement authority, provide a sectoral model for the kind of accountability governance reform that should be extended to project companies operating across the broader infrastructure sector.</w:t>
      </w:r>
      <w:r w:rsidRPr="00353F2F">
        <w:rPr>
          <w:rStyle w:val="FootnoteReference"/>
          <w:rFonts w:ascii="Times New Roman" w:hAnsi="Times New Roman" w:cs="Times New Roman"/>
        </w:rPr>
        <w:footnoteReference w:id="421"/>
      </w:r>
      <w:r w:rsidRPr="00353F2F">
        <w:rPr>
          <w:rFonts w:ascii="Times New Roman" w:hAnsi="Times New Roman" w:cs="Times New Roman"/>
        </w:rPr>
        <w:t xml:space="preserve"> The Money Laundering (Prevention and Prohibition) Act 2022's requirements for customer due diligence and beneficial ownership transparency add an additional accountability and governance layer to project finance transactions, requiring lenders and financial institutions to maintain and report information on the ultimate beneficial owners of project company shares.</w:t>
      </w:r>
      <w:r w:rsidRPr="00353F2F">
        <w:rPr>
          <w:rStyle w:val="FootnoteReference"/>
          <w:rFonts w:ascii="Times New Roman" w:hAnsi="Times New Roman" w:cs="Times New Roman"/>
        </w:rPr>
        <w:footnoteReference w:id="422"/>
      </w:r>
    </w:p>
    <w:p w14:paraId="14F1D120" w14:textId="77777777" w:rsidR="00353F2F" w:rsidRPr="00353F2F" w:rsidRDefault="00353F2F" w:rsidP="00353F2F">
      <w:pPr>
        <w:pStyle w:val="Heading2"/>
        <w:spacing w:line="480" w:lineRule="auto"/>
      </w:pPr>
      <w:r w:rsidRPr="00353F2F">
        <w:t>4.1.5 Compliance Failures and Their Impacts on Bankability</w:t>
      </w:r>
    </w:p>
    <w:p w14:paraId="1BF07A57"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Compliance failures, defined as the failure of project companies, their sponsors, and their associated regulatory authorities to meet the governance and regulatory obligations applicable to their activities, constitute the fifth and most immediately bankability-damaging category of governance deficiency in Nigerian project finance. Unlike the structural governance deficiencies examined in the preceding sections, compliance failures are typically discrete, identifiable events, such as the revocation of a regulatory license, the breach of an Equator Principles obligation, the violation of a financial covenant, or the omission of a statutory filing. These events can directly trigger lender enforcement rights and, in the most serious cases, result in the acceleration of project debt and the collapse of the entire project finance structure.</w:t>
      </w:r>
    </w:p>
    <w:p w14:paraId="73921A8B"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The Equator Principles' requirement for an independent annual environmental and social compliance review ensures that compliance failures in this area are identified and reported to the lender syndicate on a </w:t>
      </w:r>
      <w:r w:rsidRPr="00353F2F">
        <w:rPr>
          <w:rFonts w:ascii="Times New Roman" w:hAnsi="Times New Roman" w:cs="Times New Roman"/>
        </w:rPr>
        <w:lastRenderedPageBreak/>
        <w:t>systematic basis, creating a compliance accountability mechanism that directly affects lenders' ongoing assessment of project bankability. The IFC Performance Standards' obligations for ongoing environmental and social management, including the implementation of environmental and social action plans, the maintenance of community grievance mechanisms, and the regular reporting on environmental and social performance to lenders, create a comprehensive compliance governance framework whose breach constitutes an event of default under IFC-financed project documentation.</w:t>
      </w:r>
    </w:p>
    <w:p w14:paraId="47113684"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Bankability failures in Nigerian power sector project finance identify compliance failures, specifically, the failure to obtain or maintain required regulatory licenses and permits, as the most frequent proximate cause of lender disengagement from Nigerian project finance transactions.</w:t>
      </w:r>
      <w:r w:rsidRPr="00353F2F">
        <w:rPr>
          <w:rStyle w:val="FootnoteReference"/>
          <w:rFonts w:ascii="Times New Roman" w:hAnsi="Times New Roman" w:cs="Times New Roman"/>
        </w:rPr>
        <w:footnoteReference w:id="423"/>
      </w:r>
      <w:r w:rsidRPr="00353F2F">
        <w:rPr>
          <w:rFonts w:ascii="Times New Roman" w:hAnsi="Times New Roman" w:cs="Times New Roman"/>
        </w:rPr>
        <w:t xml:space="preserve"> In the cases examined, project companies that had achieved conditional financial close, with lenders committed to providing financing subject to the satisfaction of pre-drawdown conditions including the procurement of specified regulatory approvals, subsequently failed to obtain those approvals within the required timeframe, triggering the lapse of lender commitments and the collapse of the project finance structure.</w:t>
      </w:r>
      <w:r w:rsidRPr="00353F2F">
        <w:rPr>
          <w:rStyle w:val="FootnoteReference"/>
          <w:rFonts w:ascii="Times New Roman" w:hAnsi="Times New Roman" w:cs="Times New Roman"/>
        </w:rPr>
        <w:footnoteReference w:id="424"/>
      </w:r>
      <w:r w:rsidRPr="00353F2F">
        <w:rPr>
          <w:rFonts w:ascii="Times New Roman" w:hAnsi="Times New Roman" w:cs="Times New Roman"/>
        </w:rPr>
        <w:t xml:space="preserve"> Regulatory compliance as a non-negotiable prerequisite for bankability in project finance, noting that the project revenue stream depends entirely on the project's continued authorization to operate under applicable regulatory licenses, and that any threat to that authorization destroys the credit basis for the financing.</w:t>
      </w:r>
      <w:r w:rsidRPr="00353F2F">
        <w:rPr>
          <w:rStyle w:val="FootnoteReference"/>
          <w:rFonts w:ascii="Times New Roman" w:hAnsi="Times New Roman" w:cs="Times New Roman"/>
        </w:rPr>
        <w:footnoteReference w:id="425"/>
      </w:r>
      <w:r w:rsidRPr="00353F2F">
        <w:rPr>
          <w:rFonts w:ascii="Times New Roman" w:hAnsi="Times New Roman" w:cs="Times New Roman"/>
        </w:rPr>
        <w:t xml:space="preserve"> Financial modelling implications and compliance risk demonstrates that lenders incorporate compliance risk assessments into their financial model assumptions, specifically, through the application of stressed scenarios in which compliance failures reduce project revenues or increase project costs, and that projects with demonstrably stronger compliance governance frameworks are modelled with lower compliance risk discounts, directly improving their bankability metrics.</w:t>
      </w:r>
      <w:r w:rsidRPr="00353F2F">
        <w:rPr>
          <w:rStyle w:val="FootnoteReference"/>
          <w:rFonts w:ascii="Times New Roman" w:hAnsi="Times New Roman" w:cs="Times New Roman"/>
        </w:rPr>
        <w:footnoteReference w:id="426"/>
      </w:r>
    </w:p>
    <w:p w14:paraId="7A652EB5"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lastRenderedPageBreak/>
        <w:t>Broader evidence of the bankability implications of compliance governance quality, demonstrates that projects in jurisdictions with stronger legal enforcement mechanisms, a proxy for compliance governance quality at the system level, attract larger lender syndicates and obtain financing at lower interest rate spreads, confirming that compliance governance quality is priced into the cost of project finance capital.</w:t>
      </w:r>
      <w:r w:rsidRPr="00353F2F">
        <w:rPr>
          <w:rStyle w:val="FootnoteReference"/>
          <w:rFonts w:ascii="Times New Roman" w:hAnsi="Times New Roman" w:cs="Times New Roman"/>
        </w:rPr>
        <w:footnoteReference w:id="427"/>
      </w:r>
      <w:r w:rsidRPr="00353F2F">
        <w:rPr>
          <w:rFonts w:ascii="Times New Roman" w:hAnsi="Times New Roman" w:cs="Times New Roman"/>
        </w:rPr>
        <w:t xml:space="preserve"> Bankability requirements for Nigerian energy projects specifically identifies compliance with applicable environmental regulations, including environmental impact assessment requirements, environmental management plan obligations, and pollution discharge standards, as a compliance governance area where Nigerian project companies have historically demonstrated significant weaknesses that have directly impaired their ability to achieve bankability with international lenders applying Equator Principles standards.</w:t>
      </w:r>
      <w:r w:rsidRPr="00353F2F">
        <w:rPr>
          <w:rStyle w:val="FootnoteReference"/>
          <w:rFonts w:ascii="Times New Roman" w:hAnsi="Times New Roman" w:cs="Times New Roman"/>
        </w:rPr>
        <w:footnoteReference w:id="428"/>
      </w:r>
      <w:r w:rsidRPr="00353F2F">
        <w:rPr>
          <w:rFonts w:ascii="Times New Roman" w:hAnsi="Times New Roman" w:cs="Times New Roman"/>
        </w:rPr>
        <w:t xml:space="preserve"> The Basel Committee's compliance governance framework requires banks participating in project finance syndicates to assess the compliance risk profile of their project borrowers as a component of their credit risk assessment, ensuring that compliance governance weaknesses identified in due diligence are reflected in lender pricing and covenant requirements.</w:t>
      </w:r>
      <w:r w:rsidRPr="00353F2F">
        <w:rPr>
          <w:rStyle w:val="FootnoteReference"/>
          <w:rFonts w:ascii="Times New Roman" w:hAnsi="Times New Roman" w:cs="Times New Roman"/>
        </w:rPr>
        <w:footnoteReference w:id="429"/>
      </w:r>
      <w:r w:rsidRPr="00353F2F">
        <w:rPr>
          <w:rFonts w:ascii="Times New Roman" w:hAnsi="Times New Roman" w:cs="Times New Roman"/>
        </w:rPr>
        <w:t xml:space="preserve"> The CBN's Risk-Based Supervision Framework similarly requires Nigerian bank examiners to assess the compliance risk management systems of supervised banks, including their management of compliance risks arising from project finance credit exposures.</w:t>
      </w:r>
      <w:r w:rsidRPr="00353F2F">
        <w:rPr>
          <w:rStyle w:val="FootnoteReference"/>
          <w:rFonts w:ascii="Times New Roman" w:hAnsi="Times New Roman" w:cs="Times New Roman"/>
        </w:rPr>
        <w:footnoteReference w:id="430"/>
      </w:r>
      <w:r w:rsidRPr="00353F2F">
        <w:rPr>
          <w:rFonts w:ascii="Times New Roman" w:hAnsi="Times New Roman" w:cs="Times New Roman"/>
        </w:rPr>
        <w:t xml:space="preserve"> The African Development Bank's analysis of bankability constraints in African infrastructure finance identifies compliance governance as one of three governance dimensions, alongside institutional governance quality and project company governance quality, that most significantly affect the bankability of infrastructure transactions, noting that projects with demonstrably strong compliance track records consistently outperform those with compliance weaknesses in terms of lender appetite, financing costs, and </w:t>
      </w:r>
      <w:r w:rsidRPr="00353F2F">
        <w:rPr>
          <w:rFonts w:ascii="Times New Roman" w:hAnsi="Times New Roman" w:cs="Times New Roman"/>
        </w:rPr>
        <w:lastRenderedPageBreak/>
        <w:t>transaction completion timelines.</w:t>
      </w:r>
      <w:r w:rsidRPr="00353F2F">
        <w:rPr>
          <w:rStyle w:val="FootnoteReference"/>
          <w:rFonts w:ascii="Times New Roman" w:hAnsi="Times New Roman" w:cs="Times New Roman"/>
        </w:rPr>
        <w:footnoteReference w:id="431"/>
      </w:r>
      <w:r w:rsidRPr="00353F2F">
        <w:rPr>
          <w:rFonts w:ascii="Times New Roman" w:hAnsi="Times New Roman" w:cs="Times New Roman"/>
        </w:rPr>
        <w:t xml:space="preserve"> Addressing compliance governance failures in Nigerian project finance requires a dual strategy which are improving the internal compliance management systems of project companies, through governance reforms that embed compliance as a board-level priority with dedicated institutional resources; and improving the external compliance enforcement infrastructure, through regulatory capacity building that makes compliance enforcement more consistent, credible, and commercially sophisticated.</w:t>
      </w:r>
      <w:r w:rsidRPr="00353F2F">
        <w:rPr>
          <w:rStyle w:val="FootnoteReference"/>
          <w:rFonts w:ascii="Times New Roman" w:hAnsi="Times New Roman" w:cs="Times New Roman"/>
        </w:rPr>
        <w:footnoteReference w:id="432"/>
      </w:r>
    </w:p>
    <w:p w14:paraId="16BDBDE8" w14:textId="77777777" w:rsidR="00353F2F" w:rsidRPr="00353F2F" w:rsidRDefault="00353F2F" w:rsidP="00353F2F">
      <w:pPr>
        <w:pStyle w:val="Heading1"/>
        <w:spacing w:line="480" w:lineRule="auto"/>
      </w:pPr>
      <w:r w:rsidRPr="00353F2F">
        <w:t>4.2 STRENGTHENING CORPORATE GOVERNANCE FOR PROJECT FINANCE RISK MITIGATION</w:t>
      </w:r>
    </w:p>
    <w:p w14:paraId="082B3358"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The governance deficiencies identified in Section 4.1 are not irremediable. The international governance reform experience, the emerging Nigerian governance reform, and the practical experience of project finance practitioners operating in the Nigerian market together yield a comprehensive set of governance strengthening strategies that, if consistently implemented, can materially improve the quality of corporate governance as a risk mitigation tool in Nigerian project finance. This section examines these strategies, </w:t>
      </w:r>
      <w:proofErr w:type="spellStart"/>
      <w:r w:rsidRPr="00353F2F">
        <w:rPr>
          <w:rFonts w:ascii="Times New Roman" w:hAnsi="Times New Roman" w:cs="Times New Roman"/>
        </w:rPr>
        <w:t>organising</w:t>
      </w:r>
      <w:proofErr w:type="spellEnd"/>
      <w:r w:rsidRPr="00353F2F">
        <w:rPr>
          <w:rFonts w:ascii="Times New Roman" w:hAnsi="Times New Roman" w:cs="Times New Roman"/>
        </w:rPr>
        <w:t xml:space="preserve"> them into </w:t>
      </w:r>
      <w:proofErr w:type="gramStart"/>
      <w:r w:rsidRPr="00353F2F">
        <w:rPr>
          <w:rFonts w:ascii="Times New Roman" w:hAnsi="Times New Roman" w:cs="Times New Roman"/>
        </w:rPr>
        <w:t>four  dimensions</w:t>
      </w:r>
      <w:proofErr w:type="gramEnd"/>
      <w:r w:rsidRPr="00353F2F">
        <w:rPr>
          <w:rFonts w:ascii="Times New Roman" w:hAnsi="Times New Roman" w:cs="Times New Roman"/>
        </w:rPr>
        <w:t xml:space="preserve"> which are; </w:t>
      </w:r>
    </w:p>
    <w:p w14:paraId="7C5D6412" w14:textId="77777777" w:rsidR="00353F2F" w:rsidRPr="00353F2F" w:rsidRDefault="00353F2F" w:rsidP="00353F2F">
      <w:pPr>
        <w:pStyle w:val="ListParagraph"/>
        <w:numPr>
          <w:ilvl w:val="0"/>
          <w:numId w:val="5"/>
        </w:numPr>
        <w:spacing w:before="180" w:after="180" w:line="480" w:lineRule="auto"/>
        <w:contextualSpacing w:val="0"/>
        <w:jc w:val="both"/>
        <w:rPr>
          <w:rFonts w:ascii="Times New Roman" w:hAnsi="Times New Roman" w:cs="Times New Roman"/>
        </w:rPr>
      </w:pPr>
      <w:r w:rsidRPr="00353F2F">
        <w:rPr>
          <w:rFonts w:ascii="Times New Roman" w:hAnsi="Times New Roman" w:cs="Times New Roman"/>
        </w:rPr>
        <w:t xml:space="preserve">institutional governance strengthening; </w:t>
      </w:r>
    </w:p>
    <w:p w14:paraId="25D51415" w14:textId="77777777" w:rsidR="00353F2F" w:rsidRPr="00353F2F" w:rsidRDefault="00353F2F" w:rsidP="00353F2F">
      <w:pPr>
        <w:pStyle w:val="ListParagraph"/>
        <w:numPr>
          <w:ilvl w:val="0"/>
          <w:numId w:val="5"/>
        </w:numPr>
        <w:spacing w:before="180" w:after="180" w:line="480" w:lineRule="auto"/>
        <w:contextualSpacing w:val="0"/>
        <w:jc w:val="both"/>
        <w:rPr>
          <w:rFonts w:ascii="Times New Roman" w:hAnsi="Times New Roman" w:cs="Times New Roman"/>
        </w:rPr>
      </w:pPr>
      <w:r w:rsidRPr="00353F2F">
        <w:rPr>
          <w:rFonts w:ascii="Times New Roman" w:hAnsi="Times New Roman" w:cs="Times New Roman"/>
        </w:rPr>
        <w:t>project company governance enhancement;</w:t>
      </w:r>
    </w:p>
    <w:p w14:paraId="7A7021BF" w14:textId="77777777" w:rsidR="00353F2F" w:rsidRPr="00353F2F" w:rsidRDefault="00353F2F" w:rsidP="00353F2F">
      <w:pPr>
        <w:pStyle w:val="ListParagraph"/>
        <w:numPr>
          <w:ilvl w:val="0"/>
          <w:numId w:val="5"/>
        </w:numPr>
        <w:spacing w:before="180" w:after="180" w:line="480" w:lineRule="auto"/>
        <w:contextualSpacing w:val="0"/>
        <w:jc w:val="both"/>
        <w:rPr>
          <w:rFonts w:ascii="Times New Roman" w:hAnsi="Times New Roman" w:cs="Times New Roman"/>
        </w:rPr>
      </w:pPr>
      <w:r w:rsidRPr="00353F2F">
        <w:rPr>
          <w:rFonts w:ascii="Times New Roman" w:hAnsi="Times New Roman" w:cs="Times New Roman"/>
        </w:rPr>
        <w:t xml:space="preserve"> lender governance oversight improvement; and </w:t>
      </w:r>
    </w:p>
    <w:p w14:paraId="3ACB9E76" w14:textId="77777777" w:rsidR="00353F2F" w:rsidRPr="00353F2F" w:rsidRDefault="00353F2F" w:rsidP="00353F2F">
      <w:pPr>
        <w:pStyle w:val="ListParagraph"/>
        <w:numPr>
          <w:ilvl w:val="0"/>
          <w:numId w:val="5"/>
        </w:numPr>
        <w:spacing w:before="180" w:after="180" w:line="480" w:lineRule="auto"/>
        <w:contextualSpacing w:val="0"/>
        <w:jc w:val="both"/>
        <w:rPr>
          <w:rFonts w:ascii="Times New Roman" w:hAnsi="Times New Roman" w:cs="Times New Roman"/>
        </w:rPr>
      </w:pPr>
      <w:r w:rsidRPr="00353F2F">
        <w:rPr>
          <w:rFonts w:ascii="Times New Roman" w:hAnsi="Times New Roman" w:cs="Times New Roman"/>
        </w:rPr>
        <w:t xml:space="preserve">international governance standard integration. </w:t>
      </w:r>
    </w:p>
    <w:p w14:paraId="308AFB4C"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lastRenderedPageBreak/>
        <w:t>Together, these four dimensions constitute a governance strengthening agenda that addresses the structural deficiencies identified in Section 4.1.</w:t>
      </w:r>
    </w:p>
    <w:p w14:paraId="5ED751B3"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Cadbury Committee's foundational insight, that the most durable governance improvements are those that arise from genuine changes in corporate culture and professional values rather than from formal rule changes alone, provides the philosophical foundation for the governance strengthening agenda proposed in this section.</w:t>
      </w:r>
      <w:r w:rsidRPr="00353F2F">
        <w:rPr>
          <w:rStyle w:val="FootnoteReference"/>
          <w:rFonts w:ascii="Times New Roman" w:hAnsi="Times New Roman" w:cs="Times New Roman"/>
        </w:rPr>
        <w:footnoteReference w:id="433"/>
      </w:r>
      <w:r w:rsidRPr="00353F2F">
        <w:rPr>
          <w:rFonts w:ascii="Times New Roman" w:hAnsi="Times New Roman" w:cs="Times New Roman"/>
        </w:rPr>
        <w:t xml:space="preserve"> The OECD Principles' emphasis on the role of the regulatory framework in establishing the conditions for effective governance, while </w:t>
      </w:r>
      <w:proofErr w:type="spellStart"/>
      <w:r w:rsidRPr="00353F2F">
        <w:rPr>
          <w:rFonts w:ascii="Times New Roman" w:hAnsi="Times New Roman" w:cs="Times New Roman"/>
        </w:rPr>
        <w:t>recognising</w:t>
      </w:r>
      <w:proofErr w:type="spellEnd"/>
      <w:r w:rsidRPr="00353F2F">
        <w:rPr>
          <w:rFonts w:ascii="Times New Roman" w:hAnsi="Times New Roman" w:cs="Times New Roman"/>
        </w:rPr>
        <w:t xml:space="preserve"> that governance quality ultimately depends on the willingness of directors, managers, and shareholders to </w:t>
      </w:r>
      <w:proofErr w:type="spellStart"/>
      <w:r w:rsidRPr="00353F2F">
        <w:rPr>
          <w:rFonts w:ascii="Times New Roman" w:hAnsi="Times New Roman" w:cs="Times New Roman"/>
        </w:rPr>
        <w:t>internalise</w:t>
      </w:r>
      <w:proofErr w:type="spellEnd"/>
      <w:r w:rsidRPr="00353F2F">
        <w:rPr>
          <w:rFonts w:ascii="Times New Roman" w:hAnsi="Times New Roman" w:cs="Times New Roman"/>
        </w:rPr>
        <w:t xml:space="preserve"> governance values, provides the normative framework within which the specific strategies below are developed.</w:t>
      </w:r>
      <w:r w:rsidRPr="00353F2F">
        <w:rPr>
          <w:rStyle w:val="FootnoteReference"/>
          <w:rFonts w:ascii="Times New Roman" w:hAnsi="Times New Roman" w:cs="Times New Roman"/>
        </w:rPr>
        <w:footnoteReference w:id="434"/>
      </w:r>
      <w:r w:rsidRPr="00353F2F">
        <w:rPr>
          <w:rFonts w:ascii="Times New Roman" w:hAnsi="Times New Roman" w:cs="Times New Roman"/>
        </w:rPr>
        <w:t xml:space="preserve"> The complementarity of the formal governance framework and the informal governance culture, each reinforcing and sustaining the other, means that governance strengthening must address both dimensions simultaneously if it is to produce sustainable improvements.</w:t>
      </w:r>
      <w:r w:rsidRPr="00353F2F">
        <w:rPr>
          <w:rStyle w:val="FootnoteReference"/>
          <w:rFonts w:ascii="Times New Roman" w:hAnsi="Times New Roman" w:cs="Times New Roman"/>
        </w:rPr>
        <w:footnoteReference w:id="435"/>
      </w:r>
      <w:r w:rsidRPr="00353F2F">
        <w:rPr>
          <w:rFonts w:ascii="Times New Roman" w:hAnsi="Times New Roman" w:cs="Times New Roman"/>
        </w:rPr>
        <w:t xml:space="preserve"> The following analysis examines the practical strategies for achieving this complementary governance improvement across the four identified dimensions.</w:t>
      </w:r>
    </w:p>
    <w:p w14:paraId="0566179F"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most fundamental institutional governance reform needed to strengthen corporate governance as a risk mitigation tool in Nigerian project finance is the improvement of governance enforcement quality across the principal governance regulatory bodies, the FRCN, the CAC, the CBN, the SEC, the ICRC, the NERC, and the sector-specific petroleum regulators.</w:t>
      </w:r>
      <w:r w:rsidRPr="00353F2F">
        <w:rPr>
          <w:rStyle w:val="FootnoteReference"/>
          <w:rFonts w:ascii="Times New Roman" w:hAnsi="Times New Roman" w:cs="Times New Roman"/>
        </w:rPr>
        <w:footnoteReference w:id="436"/>
      </w:r>
      <w:r w:rsidRPr="00353F2F">
        <w:rPr>
          <w:rFonts w:ascii="Times New Roman" w:hAnsi="Times New Roman" w:cs="Times New Roman"/>
        </w:rPr>
        <w:t xml:space="preserve"> Effective enforcement requires adequate institutional capacity, sufficient numbers of qualified governance professionals with the technical expertise to identify and assess governance violations, the legal authority to pursue enforcement actions, and the institutional </w:t>
      </w:r>
      <w:r w:rsidRPr="00353F2F">
        <w:rPr>
          <w:rFonts w:ascii="Times New Roman" w:hAnsi="Times New Roman" w:cs="Times New Roman"/>
        </w:rPr>
        <w:lastRenderedPageBreak/>
        <w:t>independence to do so without political interference.</w:t>
      </w:r>
      <w:r w:rsidRPr="00353F2F">
        <w:rPr>
          <w:rStyle w:val="FootnoteReference"/>
          <w:rFonts w:ascii="Times New Roman" w:hAnsi="Times New Roman" w:cs="Times New Roman"/>
        </w:rPr>
        <w:footnoteReference w:id="437"/>
      </w:r>
      <w:r w:rsidRPr="00353F2F">
        <w:rPr>
          <w:rFonts w:ascii="Times New Roman" w:hAnsi="Times New Roman" w:cs="Times New Roman"/>
        </w:rPr>
        <w:t xml:space="preserve"> The NCCG 2018's comprehensive governance principles provide an excellent normative framework for enforcement, but their transformative potential remains </w:t>
      </w:r>
      <w:proofErr w:type="spellStart"/>
      <w:r w:rsidRPr="00353F2F">
        <w:rPr>
          <w:rFonts w:ascii="Times New Roman" w:hAnsi="Times New Roman" w:cs="Times New Roman"/>
        </w:rPr>
        <w:t>unrealised</w:t>
      </w:r>
      <w:proofErr w:type="spellEnd"/>
      <w:r w:rsidRPr="00353F2F">
        <w:rPr>
          <w:rFonts w:ascii="Times New Roman" w:hAnsi="Times New Roman" w:cs="Times New Roman"/>
        </w:rPr>
        <w:t xml:space="preserve"> while the FRCN lacks the capacity to systematically assess compliance with all twenty-eight principles across the full population of entities to which the Code applies.</w:t>
      </w:r>
      <w:r w:rsidRPr="00353F2F">
        <w:rPr>
          <w:rStyle w:val="FootnoteReference"/>
          <w:rFonts w:ascii="Times New Roman" w:hAnsi="Times New Roman" w:cs="Times New Roman"/>
        </w:rPr>
        <w:footnoteReference w:id="438"/>
      </w:r>
      <w:r w:rsidRPr="00353F2F">
        <w:rPr>
          <w:rFonts w:ascii="Times New Roman" w:hAnsi="Times New Roman" w:cs="Times New Roman"/>
        </w:rPr>
        <w:t xml:space="preserve"> Institutional capacity building in governance regulatory bodies, funded through adequate public resources, complemented by international technical assistance from the World Bank, the IFC, and the African Development Bank, and supported by the development of professional governance expertise within the bodies themselves — is the most essential enabler of effective enforcement.</w:t>
      </w:r>
      <w:r w:rsidRPr="00353F2F">
        <w:rPr>
          <w:rStyle w:val="FootnoteReference"/>
          <w:rFonts w:ascii="Times New Roman" w:hAnsi="Times New Roman" w:cs="Times New Roman"/>
        </w:rPr>
        <w:footnoteReference w:id="439"/>
      </w:r>
      <w:r w:rsidRPr="00353F2F">
        <w:rPr>
          <w:rFonts w:ascii="Times New Roman" w:hAnsi="Times New Roman" w:cs="Times New Roman"/>
        </w:rPr>
        <w:t xml:space="preserve"> </w:t>
      </w:r>
    </w:p>
    <w:p w14:paraId="38A4EF33"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At the project company level, governance strengthening for risk mitigation requires improvements across four dimensions: board quality, audit and financial reporting, risk management, and compliance management.</w:t>
      </w:r>
      <w:r w:rsidRPr="00353F2F">
        <w:rPr>
          <w:rStyle w:val="FootnoteReference"/>
          <w:rFonts w:ascii="Times New Roman" w:hAnsi="Times New Roman" w:cs="Times New Roman"/>
        </w:rPr>
        <w:footnoteReference w:id="440"/>
      </w:r>
      <w:r w:rsidRPr="00353F2F">
        <w:rPr>
          <w:rFonts w:ascii="Times New Roman" w:hAnsi="Times New Roman" w:cs="Times New Roman"/>
        </w:rPr>
        <w:t xml:space="preserve"> Board quality improvement, the most important single governance investment for Nigerian project companies seeking improved bankability, requires the recruitment of genuinely independent non-executive directors with relevant technical expertise, the establishment of properly constituted and resourced board committees (audit, risk, and governance), and the implementation of rigorous board performance evaluation processes that identify and address governance weaknesses.</w:t>
      </w:r>
      <w:r w:rsidRPr="00353F2F">
        <w:rPr>
          <w:rStyle w:val="FootnoteReference"/>
          <w:rFonts w:ascii="Times New Roman" w:hAnsi="Times New Roman" w:cs="Times New Roman"/>
        </w:rPr>
        <w:footnoteReference w:id="441"/>
      </w:r>
      <w:r w:rsidRPr="00353F2F">
        <w:rPr>
          <w:rFonts w:ascii="Times New Roman" w:hAnsi="Times New Roman" w:cs="Times New Roman"/>
        </w:rPr>
        <w:t xml:space="preserve"> Guidance's requirements for board-level risk oversight provide a practical governance template for the risk management dimension of project company board governance, requiring boards to maintain a systematic </w:t>
      </w:r>
      <w:r w:rsidRPr="00353F2F">
        <w:rPr>
          <w:rFonts w:ascii="Times New Roman" w:hAnsi="Times New Roman" w:cs="Times New Roman"/>
        </w:rPr>
        <w:lastRenderedPageBreak/>
        <w:t>process for identifying, evaluating, and managing the principal risks facing the project and to review the effectiveness of the risk management framework regularly.</w:t>
      </w:r>
      <w:r w:rsidRPr="00353F2F">
        <w:rPr>
          <w:rStyle w:val="FootnoteReference"/>
          <w:rFonts w:ascii="Times New Roman" w:hAnsi="Times New Roman" w:cs="Times New Roman"/>
        </w:rPr>
        <w:footnoteReference w:id="442"/>
      </w:r>
      <w:r w:rsidRPr="00353F2F">
        <w:rPr>
          <w:rFonts w:ascii="Times New Roman" w:hAnsi="Times New Roman" w:cs="Times New Roman"/>
        </w:rPr>
        <w:t xml:space="preserve"> CAMA’s provisions on director qualification requirements and the composition of audit committees provide the statutory framework within which these board quality improvements can be mandated, though the challenge lies not in the statutory framework but in the practical implementation, the identification and retention of sufficiently qualified independent directors in a market where the supply of genuinely independent governance professionals remains limited.</w:t>
      </w:r>
      <w:r w:rsidRPr="00353F2F">
        <w:rPr>
          <w:rStyle w:val="FootnoteReference"/>
          <w:rFonts w:ascii="Times New Roman" w:hAnsi="Times New Roman" w:cs="Times New Roman"/>
        </w:rPr>
        <w:footnoteReference w:id="443"/>
      </w:r>
      <w:r w:rsidRPr="00353F2F">
        <w:rPr>
          <w:rFonts w:ascii="Times New Roman" w:hAnsi="Times New Roman" w:cs="Times New Roman"/>
        </w:rPr>
        <w:t xml:space="preserve"> The fiduciary duty provisions of CAMA provide the legal basis for holding directors of Nigerian project companies to account for governance failures, creating the legal infrastructure for accountability that must be complemented by improved enforcement to generate genuine governance discipline.</w:t>
      </w:r>
      <w:r w:rsidRPr="00353F2F">
        <w:rPr>
          <w:rStyle w:val="FootnoteReference"/>
          <w:rFonts w:ascii="Times New Roman" w:hAnsi="Times New Roman" w:cs="Times New Roman"/>
        </w:rPr>
        <w:footnoteReference w:id="444"/>
      </w:r>
      <w:r w:rsidRPr="00353F2F">
        <w:rPr>
          <w:rFonts w:ascii="Times New Roman" w:hAnsi="Times New Roman" w:cs="Times New Roman"/>
        </w:rPr>
        <w:t xml:space="preserve"> The CBN Code's requirements for board independence and committee constitution in banks, which have been more consistently applied than equivalent requirements in the non-financial sector provide a regulatory governance model that could profitably be extended to project companies in major infrastructure sectors.</w:t>
      </w:r>
      <w:r w:rsidRPr="00353F2F">
        <w:rPr>
          <w:rStyle w:val="FootnoteReference"/>
          <w:rFonts w:ascii="Times New Roman" w:hAnsi="Times New Roman" w:cs="Times New Roman"/>
        </w:rPr>
        <w:footnoteReference w:id="445"/>
      </w:r>
      <w:r w:rsidRPr="00353F2F">
        <w:rPr>
          <w:rFonts w:ascii="Times New Roman" w:hAnsi="Times New Roman" w:cs="Times New Roman"/>
        </w:rPr>
        <w:t xml:space="preserve"> The Basel Committee's compliance governance framework, with its requirements for an independent compliance function reporting directly to the audit committee, provides a template for the compliance governance arrangements that project companies in Nigeria should implement as part of their bankability improvement strategy.</w:t>
      </w:r>
      <w:r w:rsidRPr="00353F2F">
        <w:rPr>
          <w:rStyle w:val="FootnoteReference"/>
          <w:rFonts w:ascii="Times New Roman" w:hAnsi="Times New Roman" w:cs="Times New Roman"/>
        </w:rPr>
        <w:footnoteReference w:id="446"/>
      </w:r>
    </w:p>
    <w:p w14:paraId="2A795976"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Lender governance oversight improvement, the strengthening of the governance monitoring and enforcement mechanisms that lenders exercise over project companies through their project finance documentation, is the third dimension of the governance strengthening agenda and arguably the most immediately impactful, since lender governance oversight is the primary accountability mechanism for </w:t>
      </w:r>
      <w:r w:rsidRPr="00353F2F">
        <w:rPr>
          <w:rFonts w:ascii="Times New Roman" w:hAnsi="Times New Roman" w:cs="Times New Roman"/>
        </w:rPr>
        <w:lastRenderedPageBreak/>
        <w:t>project companies that may be exempt from the most rigorous dimensions of the public governance regulatory framework.</w:t>
      </w:r>
      <w:r w:rsidRPr="00353F2F">
        <w:rPr>
          <w:rStyle w:val="FootnoteReference"/>
          <w:rFonts w:ascii="Times New Roman" w:hAnsi="Times New Roman" w:cs="Times New Roman"/>
        </w:rPr>
        <w:footnoteReference w:id="447"/>
      </w:r>
      <w:r w:rsidRPr="00353F2F">
        <w:rPr>
          <w:rFonts w:ascii="Times New Roman" w:hAnsi="Times New Roman" w:cs="Times New Roman"/>
        </w:rPr>
        <w:t xml:space="preserve"> The strengthening of lender governance oversight in Nigerian project finance transactions requires improvements in three areas: the comprehensiveness and </w:t>
      </w:r>
      <w:proofErr w:type="spellStart"/>
      <w:r w:rsidRPr="00353F2F">
        <w:rPr>
          <w:rFonts w:ascii="Times New Roman" w:hAnsi="Times New Roman" w:cs="Times New Roman"/>
        </w:rPr>
        <w:t>rigour</w:t>
      </w:r>
      <w:proofErr w:type="spellEnd"/>
      <w:r w:rsidRPr="00353F2F">
        <w:rPr>
          <w:rFonts w:ascii="Times New Roman" w:hAnsi="Times New Roman" w:cs="Times New Roman"/>
        </w:rPr>
        <w:t xml:space="preserve"> of pre-drawdown governance due diligence; the design of ongoing governance monitoring obligations; and the robustness and enforceability of governance enforcement mechanisms.</w:t>
      </w:r>
      <w:r w:rsidRPr="00353F2F">
        <w:rPr>
          <w:rStyle w:val="FootnoteReference"/>
          <w:rFonts w:ascii="Times New Roman" w:hAnsi="Times New Roman" w:cs="Times New Roman"/>
        </w:rPr>
        <w:footnoteReference w:id="448"/>
      </w:r>
      <w:r w:rsidRPr="00353F2F">
        <w:rPr>
          <w:rFonts w:ascii="Times New Roman" w:hAnsi="Times New Roman" w:cs="Times New Roman"/>
        </w:rPr>
        <w:t xml:space="preserve"> </w:t>
      </w:r>
    </w:p>
    <w:p w14:paraId="0C69C6DB"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integration of international governance standards, particularly the Equator Principles, the IFC Performance Standards, and the OECD Principles, into the standard governance arrangements for Nigerian project finance transactions provides the fourth and final dimension of the governance strengthening agenda.</w:t>
      </w:r>
      <w:r w:rsidRPr="00353F2F">
        <w:rPr>
          <w:rStyle w:val="FootnoteReference"/>
          <w:rFonts w:ascii="Times New Roman" w:hAnsi="Times New Roman" w:cs="Times New Roman"/>
        </w:rPr>
        <w:footnoteReference w:id="449"/>
      </w:r>
      <w:r w:rsidRPr="00353F2F">
        <w:rPr>
          <w:rFonts w:ascii="Times New Roman" w:hAnsi="Times New Roman" w:cs="Times New Roman"/>
        </w:rPr>
        <w:t xml:space="preserve"> The incorporation of Equator Principles compliance obligations into the standard conditions of all Nigerian project finance transactions above the applicable thresholds, whether or not the lender syndicate includes formal Equator Principles signatories, would extend the governance benefits of the Equator Principles framework to the broader Nigerian project finance market, establishing a common governance benchmark that reduces due diligence costs and facilitates the comparison of governance quality across transactions.</w:t>
      </w:r>
      <w:r w:rsidRPr="00353F2F">
        <w:rPr>
          <w:rStyle w:val="FootnoteReference"/>
          <w:rFonts w:ascii="Times New Roman" w:hAnsi="Times New Roman" w:cs="Times New Roman"/>
        </w:rPr>
        <w:footnoteReference w:id="450"/>
      </w:r>
      <w:r w:rsidRPr="00353F2F">
        <w:rPr>
          <w:rFonts w:ascii="Times New Roman" w:hAnsi="Times New Roman" w:cs="Times New Roman"/>
        </w:rPr>
        <w:t xml:space="preserve"> The ICRC's PPP Manual already incorporates many IFC Performance Standard requirements into its governa</w:t>
      </w:r>
      <w:bookmarkStart w:id="0" w:name="_GoBack"/>
      <w:bookmarkEnd w:id="0"/>
      <w:r w:rsidRPr="00353F2F">
        <w:rPr>
          <w:rFonts w:ascii="Times New Roman" w:hAnsi="Times New Roman" w:cs="Times New Roman"/>
        </w:rPr>
        <w:t>nce guidelines for infrastructure concession transactions, providing an institutional mechanism for the transmission of international governance standards into the domestic regulatory framework.</w:t>
      </w:r>
      <w:r w:rsidRPr="00353F2F">
        <w:rPr>
          <w:rStyle w:val="FootnoteReference"/>
          <w:rFonts w:ascii="Times New Roman" w:hAnsi="Times New Roman" w:cs="Times New Roman"/>
        </w:rPr>
        <w:footnoteReference w:id="451"/>
      </w:r>
      <w:r w:rsidRPr="00353F2F">
        <w:rPr>
          <w:rFonts w:ascii="Times New Roman" w:hAnsi="Times New Roman" w:cs="Times New Roman"/>
        </w:rPr>
        <w:t xml:space="preserve"> The Arbitration and Mediation Act 2023's </w:t>
      </w:r>
      <w:proofErr w:type="spellStart"/>
      <w:r w:rsidRPr="00353F2F">
        <w:rPr>
          <w:rFonts w:ascii="Times New Roman" w:hAnsi="Times New Roman" w:cs="Times New Roman"/>
        </w:rPr>
        <w:t>modernisation</w:t>
      </w:r>
      <w:proofErr w:type="spellEnd"/>
      <w:r w:rsidRPr="00353F2F">
        <w:rPr>
          <w:rFonts w:ascii="Times New Roman" w:hAnsi="Times New Roman" w:cs="Times New Roman"/>
        </w:rPr>
        <w:t xml:space="preserve"> of the Nigerian arbitration framework, discussed in Chapter Three, provides the dispute resolution infrastructure needed to support the robust enforcement of governance safeguards in project finance documentation, reducing the transaction cost of governance enforcement that has historically deterred lenders from investing in </w:t>
      </w:r>
      <w:r w:rsidRPr="00353F2F">
        <w:rPr>
          <w:rFonts w:ascii="Times New Roman" w:hAnsi="Times New Roman" w:cs="Times New Roman"/>
        </w:rPr>
        <w:lastRenderedPageBreak/>
        <w:t>comprehensive governance monitoring systems.</w:t>
      </w:r>
      <w:r w:rsidRPr="00353F2F">
        <w:rPr>
          <w:rStyle w:val="FootnoteReference"/>
          <w:rFonts w:ascii="Times New Roman" w:hAnsi="Times New Roman" w:cs="Times New Roman"/>
        </w:rPr>
        <w:footnoteReference w:id="452"/>
      </w:r>
      <w:r w:rsidRPr="00353F2F">
        <w:rPr>
          <w:rFonts w:ascii="Times New Roman" w:hAnsi="Times New Roman" w:cs="Times New Roman"/>
        </w:rPr>
        <w:t xml:space="preserve"> The STMA 2017's improved security interest framework reduces the legal governance risk associated with project finance security packages, providing lenders with greater confidence in the enforceability of their collateral rights and thereby reducing the collateral risk premium that has historically constrained project finance bankability.</w:t>
      </w:r>
      <w:r w:rsidRPr="00353F2F">
        <w:rPr>
          <w:rStyle w:val="FootnoteReference"/>
          <w:rFonts w:ascii="Times New Roman" w:hAnsi="Times New Roman" w:cs="Times New Roman"/>
        </w:rPr>
        <w:footnoteReference w:id="453"/>
      </w:r>
      <w:r w:rsidRPr="00353F2F">
        <w:rPr>
          <w:rFonts w:ascii="Times New Roman" w:hAnsi="Times New Roman" w:cs="Times New Roman"/>
        </w:rPr>
        <w:t xml:space="preserve"> </w:t>
      </w:r>
    </w:p>
    <w:p w14:paraId="50FE81DF"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combination of improved institutional governance, stronger project company governance, more rigorous lender oversight, and fuller integration of international governance standards constitutes a comprehensive governance strengthening strategy that is capable of addressing the multidimensional governance deficiencies identified in Section 4.1 and materially improving the risk mitigation effectiveness of corporate governance in Nigerian project finance.</w:t>
      </w:r>
      <w:r w:rsidRPr="00353F2F">
        <w:rPr>
          <w:rStyle w:val="FootnoteReference"/>
          <w:rFonts w:ascii="Times New Roman" w:hAnsi="Times New Roman" w:cs="Times New Roman"/>
        </w:rPr>
        <w:footnoteReference w:id="454"/>
      </w:r>
      <w:r w:rsidRPr="00353F2F">
        <w:rPr>
          <w:rFonts w:ascii="Times New Roman" w:hAnsi="Times New Roman" w:cs="Times New Roman"/>
        </w:rPr>
        <w:t xml:space="preserve"> </w:t>
      </w:r>
    </w:p>
    <w:p w14:paraId="4EC91856" w14:textId="77777777" w:rsidR="00353F2F" w:rsidRPr="00353F2F" w:rsidRDefault="00353F2F" w:rsidP="00353F2F">
      <w:pPr>
        <w:spacing w:before="180" w:after="180" w:line="480" w:lineRule="auto"/>
        <w:jc w:val="both"/>
        <w:rPr>
          <w:rFonts w:ascii="Times New Roman" w:hAnsi="Times New Roman" w:cs="Times New Roman"/>
        </w:rPr>
      </w:pPr>
    </w:p>
    <w:p w14:paraId="13B76A4B"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b/>
          <w:bCs/>
          <w:sz w:val="28"/>
          <w:szCs w:val="28"/>
        </w:rPr>
        <w:t>4.3 FUTURE PROSPECTS FOR GOVERNANCE-DRIVEN BANKABILITY</w:t>
      </w:r>
    </w:p>
    <w:p w14:paraId="7E758AEC"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The future prospects for governance-driven improvements in the bankability of Nigerian project finance are, on balance, cautiously optimistic, underpinned by encouraging trends in the Nigerian governance reform landscape, supported by strengthening international governance standards and development finance institution engagement, and driven by the compelling economic logic of the governance-bankability relationship demonstrated by the empirical literature. However, the </w:t>
      </w:r>
      <w:proofErr w:type="spellStart"/>
      <w:r w:rsidRPr="00353F2F">
        <w:rPr>
          <w:rFonts w:ascii="Times New Roman" w:hAnsi="Times New Roman" w:cs="Times New Roman"/>
        </w:rPr>
        <w:t>realisation</w:t>
      </w:r>
      <w:proofErr w:type="spellEnd"/>
      <w:r w:rsidRPr="00353F2F">
        <w:rPr>
          <w:rFonts w:ascii="Times New Roman" w:hAnsi="Times New Roman" w:cs="Times New Roman"/>
        </w:rPr>
        <w:t xml:space="preserve"> of these prospects is neither inevitable nor imminent: it requires sustained political will, consistent institutional capacity building, and the continued engagement of the project finance market with the governance reform agenda. </w:t>
      </w:r>
    </w:p>
    <w:p w14:paraId="7E5F6B1A"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The most powerful driver of governance-driven bankability improvement is the demonstrable economic case for governance reform, the empirical evidence, surveyed in Chapters Two and Three and applied in </w:t>
      </w:r>
      <w:r w:rsidRPr="00353F2F">
        <w:rPr>
          <w:rFonts w:ascii="Times New Roman" w:hAnsi="Times New Roman" w:cs="Times New Roman"/>
        </w:rPr>
        <w:lastRenderedPageBreak/>
        <w:t>Section 4.2, that governance quality is a significant and quantifiable determinant of project finance bankability, financing costs, and project performance outcomes.</w:t>
      </w:r>
      <w:r w:rsidRPr="00353F2F">
        <w:rPr>
          <w:rStyle w:val="FootnoteReference"/>
          <w:rFonts w:ascii="Times New Roman" w:hAnsi="Times New Roman" w:cs="Times New Roman"/>
        </w:rPr>
        <w:footnoteReference w:id="455"/>
      </w:r>
      <w:r w:rsidRPr="00353F2F">
        <w:rPr>
          <w:rFonts w:ascii="Times New Roman" w:hAnsi="Times New Roman" w:cs="Times New Roman"/>
        </w:rPr>
        <w:t xml:space="preserve"> The demonstration that infrastructure assets in better-governed jurisdictions attract a broader and deeper pool of long-term institutional investors, enabling more diversified financing structures and more competitive pricing than is available in poorly governed markets.</w:t>
      </w:r>
      <w:r w:rsidRPr="00353F2F">
        <w:rPr>
          <w:rStyle w:val="FootnoteReference"/>
          <w:rFonts w:ascii="Times New Roman" w:hAnsi="Times New Roman" w:cs="Times New Roman"/>
        </w:rPr>
        <w:footnoteReference w:id="456"/>
      </w:r>
      <w:r w:rsidRPr="00353F2F">
        <w:rPr>
          <w:rFonts w:ascii="Times New Roman" w:hAnsi="Times New Roman" w:cs="Times New Roman"/>
        </w:rPr>
        <w:t xml:space="preserve"> This economic argument is increasingly understood and articulated by Nigerian policy-makers, regulators, and business leaders, creating a domestic reform constituency that did not exist when the governance reform agenda was primarily an externally imposed conditionality attached to World Bank and IMF technical assistance </w:t>
      </w:r>
      <w:proofErr w:type="spellStart"/>
      <w:r w:rsidRPr="00353F2F">
        <w:rPr>
          <w:rFonts w:ascii="Times New Roman" w:hAnsi="Times New Roman" w:cs="Times New Roman"/>
        </w:rPr>
        <w:t>programmes</w:t>
      </w:r>
      <w:proofErr w:type="spellEnd"/>
      <w:r w:rsidRPr="00353F2F">
        <w:rPr>
          <w:rFonts w:ascii="Times New Roman" w:hAnsi="Times New Roman" w:cs="Times New Roman"/>
        </w:rPr>
        <w:t xml:space="preserve">. The Petroleum Industry Act 2021's governance reforms, establishing independent regulatory commissions with statutory protections for their operational independence, mandating host community development as a legal obligation, and restructuring the fiscal terms of petroleum </w:t>
      </w:r>
      <w:proofErr w:type="spellStart"/>
      <w:r w:rsidRPr="00353F2F">
        <w:rPr>
          <w:rFonts w:ascii="Times New Roman" w:hAnsi="Times New Roman" w:cs="Times New Roman"/>
        </w:rPr>
        <w:t>licences</w:t>
      </w:r>
      <w:proofErr w:type="spellEnd"/>
      <w:r w:rsidRPr="00353F2F">
        <w:rPr>
          <w:rFonts w:ascii="Times New Roman" w:hAnsi="Times New Roman" w:cs="Times New Roman"/>
        </w:rPr>
        <w:t xml:space="preserve"> to improve revenue transparency, reflect this domestically driven governance reform momentum.</w:t>
      </w:r>
      <w:r w:rsidRPr="00353F2F">
        <w:rPr>
          <w:rStyle w:val="FootnoteReference"/>
          <w:rFonts w:ascii="Times New Roman" w:hAnsi="Times New Roman" w:cs="Times New Roman"/>
        </w:rPr>
        <w:footnoteReference w:id="457"/>
      </w:r>
      <w:r w:rsidRPr="00353F2F">
        <w:rPr>
          <w:rFonts w:ascii="Times New Roman" w:hAnsi="Times New Roman" w:cs="Times New Roman"/>
        </w:rPr>
        <w:t xml:space="preserve"> Similarly, the Electricity Act and the subsequent wave of power sector </w:t>
      </w:r>
      <w:proofErr w:type="spellStart"/>
      <w:r w:rsidRPr="00353F2F">
        <w:rPr>
          <w:rFonts w:ascii="Times New Roman" w:hAnsi="Times New Roman" w:cs="Times New Roman"/>
        </w:rPr>
        <w:t>privatisation</w:t>
      </w:r>
      <w:proofErr w:type="spellEnd"/>
      <w:r w:rsidRPr="00353F2F">
        <w:rPr>
          <w:rFonts w:ascii="Times New Roman" w:hAnsi="Times New Roman" w:cs="Times New Roman"/>
        </w:rPr>
        <w:t xml:space="preserve"> transactions were driven in part by domestic recognition that governance reform of the power sector was a prerequisite for attracting the private investment needed to address Nigeria's chronic power supply deficit.</w:t>
      </w:r>
      <w:r w:rsidRPr="00353F2F">
        <w:rPr>
          <w:rStyle w:val="FootnoteReference"/>
          <w:rFonts w:ascii="Times New Roman" w:hAnsi="Times New Roman" w:cs="Times New Roman"/>
        </w:rPr>
        <w:footnoteReference w:id="458"/>
      </w:r>
    </w:p>
    <w:p w14:paraId="2D9CCFE3"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growing sophistication of Nigerian project finance practitioners, including the emergence of a cadre of experienced Nigerian lawyers, financial advisers, environmental consultants, and governance specialists with deep knowledge of international project finance standards, represents a second important driver of governance-driven bankability improvement.</w:t>
      </w:r>
      <w:r w:rsidRPr="00353F2F">
        <w:rPr>
          <w:rStyle w:val="FootnoteReference"/>
          <w:rFonts w:ascii="Times New Roman" w:hAnsi="Times New Roman" w:cs="Times New Roman"/>
        </w:rPr>
        <w:footnoteReference w:id="459"/>
      </w:r>
      <w:r w:rsidRPr="00353F2F">
        <w:rPr>
          <w:rFonts w:ascii="Times New Roman" w:hAnsi="Times New Roman" w:cs="Times New Roman"/>
        </w:rPr>
        <w:t xml:space="preserve"> As Nigerian practitioners become more familiar with the governance requirements of international lenders, development finance institutions, and international governance standards, they are better equipped to advise project sponsors and project companies on the </w:t>
      </w:r>
      <w:r w:rsidRPr="00353F2F">
        <w:rPr>
          <w:rFonts w:ascii="Times New Roman" w:hAnsi="Times New Roman" w:cs="Times New Roman"/>
        </w:rPr>
        <w:lastRenderedPageBreak/>
        <w:t>governance improvements needed for bankability, to design governance arrangements that meet international standards, and to identify and address governance weaknesses before they become bankability obstacles.</w:t>
      </w:r>
      <w:r w:rsidRPr="00353F2F">
        <w:rPr>
          <w:rStyle w:val="FootnoteReference"/>
          <w:rFonts w:ascii="Times New Roman" w:hAnsi="Times New Roman" w:cs="Times New Roman"/>
        </w:rPr>
        <w:footnoteReference w:id="460"/>
      </w:r>
      <w:r w:rsidRPr="00353F2F">
        <w:rPr>
          <w:rFonts w:ascii="Times New Roman" w:hAnsi="Times New Roman" w:cs="Times New Roman"/>
        </w:rPr>
        <w:t xml:space="preserve"> The institutional development framework suggests that the accumulation of professional governance expertise within the Nigerian project finance market constitutes an important informal institutional asset, a body of shared knowledge and professional norms about appropriate governance practice, that complements and reinforces the formal institutional governance framework.</w:t>
      </w:r>
      <w:r w:rsidRPr="00353F2F">
        <w:rPr>
          <w:rStyle w:val="FootnoteReference"/>
          <w:rFonts w:ascii="Times New Roman" w:hAnsi="Times New Roman" w:cs="Times New Roman"/>
        </w:rPr>
        <w:footnoteReference w:id="461"/>
      </w:r>
      <w:r w:rsidRPr="00353F2F">
        <w:rPr>
          <w:rFonts w:ascii="Times New Roman" w:hAnsi="Times New Roman" w:cs="Times New Roman"/>
        </w:rPr>
        <w:t xml:space="preserve"> The Nigerian project finance market's increasing exposure to international governance standards, through the participation of IFC, the African Development Bank, and international commercial lenders in Nigerian project finance transactions, creates a mimetic institutional isomorphism mechanism through which international governance best practices are progressively transmitted into Nigerian domestic governance arrangements.</w:t>
      </w:r>
      <w:r w:rsidRPr="00353F2F">
        <w:rPr>
          <w:rStyle w:val="FootnoteReference"/>
          <w:rFonts w:ascii="Times New Roman" w:hAnsi="Times New Roman" w:cs="Times New Roman"/>
        </w:rPr>
        <w:footnoteReference w:id="462"/>
      </w:r>
      <w:r w:rsidRPr="00353F2F">
        <w:rPr>
          <w:rFonts w:ascii="Times New Roman" w:hAnsi="Times New Roman" w:cs="Times New Roman"/>
        </w:rPr>
        <w:t xml:space="preserve"> </w:t>
      </w:r>
    </w:p>
    <w:p w14:paraId="73E012A6"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 xml:space="preserve"> The IFC's approach to governance, including its increasing emphasis on the governance of project companies as a distinct component of its investment assessment process, signals a direction of travel toward more rigorous and comprehensive governance requirements for international project finance that Nigerian project companies must anticipate and prepare for.</w:t>
      </w:r>
      <w:r w:rsidRPr="00353F2F">
        <w:rPr>
          <w:rStyle w:val="FootnoteReference"/>
          <w:rFonts w:ascii="Times New Roman" w:hAnsi="Times New Roman" w:cs="Times New Roman"/>
        </w:rPr>
        <w:footnoteReference w:id="463"/>
      </w:r>
      <w:r w:rsidRPr="00353F2F">
        <w:rPr>
          <w:rFonts w:ascii="Times New Roman" w:hAnsi="Times New Roman" w:cs="Times New Roman"/>
        </w:rPr>
        <w:t xml:space="preserve"> The OECD's 2023 revision of its Principles of Corporate Governance, incorporating strengthened guidance on sustainability governance, digital transformation risks, and institutional investor responsibilities, provides a further evolution of the international governance framework that will shape the governance requirements of international lenders and institutional investors in Nigerian project finance over the coming decade.</w:t>
      </w:r>
      <w:r w:rsidRPr="00353F2F">
        <w:rPr>
          <w:rStyle w:val="FootnoteReference"/>
          <w:rFonts w:ascii="Times New Roman" w:hAnsi="Times New Roman" w:cs="Times New Roman"/>
        </w:rPr>
        <w:footnoteReference w:id="464"/>
      </w:r>
      <w:r w:rsidRPr="00353F2F">
        <w:rPr>
          <w:rFonts w:ascii="Times New Roman" w:hAnsi="Times New Roman" w:cs="Times New Roman"/>
        </w:rPr>
        <w:t xml:space="preserve"> </w:t>
      </w:r>
    </w:p>
    <w:p w14:paraId="76386CAD"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lastRenderedPageBreak/>
        <w:t>The governance-driven bankability improvement prospects for specific sectors of Nigerian project finance vary significantly, reflecting the different regulatory governance frameworks, institutional governance quality, and governance reform trajectories of each sector.</w:t>
      </w:r>
      <w:r w:rsidRPr="00353F2F">
        <w:rPr>
          <w:rStyle w:val="FootnoteReference"/>
          <w:rFonts w:ascii="Times New Roman" w:hAnsi="Times New Roman" w:cs="Times New Roman"/>
        </w:rPr>
        <w:footnoteReference w:id="465"/>
      </w:r>
      <w:r w:rsidRPr="00353F2F">
        <w:rPr>
          <w:rFonts w:ascii="Times New Roman" w:hAnsi="Times New Roman" w:cs="Times New Roman"/>
        </w:rPr>
        <w:t xml:space="preserve"> In the power sector, the governance reforms introduced by the power sector </w:t>
      </w:r>
      <w:proofErr w:type="spellStart"/>
      <w:r w:rsidRPr="00353F2F">
        <w:rPr>
          <w:rFonts w:ascii="Times New Roman" w:hAnsi="Times New Roman" w:cs="Times New Roman"/>
        </w:rPr>
        <w:t>privatisation</w:t>
      </w:r>
      <w:proofErr w:type="spellEnd"/>
      <w:r w:rsidRPr="00353F2F">
        <w:rPr>
          <w:rFonts w:ascii="Times New Roman" w:hAnsi="Times New Roman" w:cs="Times New Roman"/>
        </w:rPr>
        <w:t xml:space="preserve"> process, including the separation of generation, transmission, and distribution companies, the establishment of the NERC as an independent regulatory authority, and the application of international governance standards to the </w:t>
      </w:r>
      <w:proofErr w:type="spellStart"/>
      <w:r w:rsidRPr="00353F2F">
        <w:rPr>
          <w:rFonts w:ascii="Times New Roman" w:hAnsi="Times New Roman" w:cs="Times New Roman"/>
        </w:rPr>
        <w:t>privatised</w:t>
      </w:r>
      <w:proofErr w:type="spellEnd"/>
      <w:r w:rsidRPr="00353F2F">
        <w:rPr>
          <w:rFonts w:ascii="Times New Roman" w:hAnsi="Times New Roman" w:cs="Times New Roman"/>
        </w:rPr>
        <w:t xml:space="preserve"> distribution and generation companies, have created a governance foundation for bankability improvement that, while still incomplete, is more robust than that available to many other infrastructure sectors.</w:t>
      </w:r>
      <w:r w:rsidRPr="00353F2F">
        <w:rPr>
          <w:rStyle w:val="FootnoteReference"/>
          <w:rFonts w:ascii="Times New Roman" w:hAnsi="Times New Roman" w:cs="Times New Roman"/>
        </w:rPr>
        <w:footnoteReference w:id="466"/>
      </w:r>
      <w:r w:rsidRPr="00353F2F">
        <w:rPr>
          <w:rFonts w:ascii="Times New Roman" w:hAnsi="Times New Roman" w:cs="Times New Roman"/>
        </w:rPr>
        <w:t xml:space="preserve"> In the oil and gas sector, the governance reforms introduced by the Petroleum Industry Act 2021, including the establishment of the NUPRC and NMDPRA as independent regulatory commissions, the mandatory host community development framework, and the revised fiscal and governance terms for petroleum </w:t>
      </w:r>
      <w:proofErr w:type="spellStart"/>
      <w:r w:rsidRPr="00353F2F">
        <w:rPr>
          <w:rFonts w:ascii="Times New Roman" w:hAnsi="Times New Roman" w:cs="Times New Roman"/>
        </w:rPr>
        <w:t>licences</w:t>
      </w:r>
      <w:proofErr w:type="spellEnd"/>
      <w:r w:rsidRPr="00353F2F">
        <w:rPr>
          <w:rFonts w:ascii="Times New Roman" w:hAnsi="Times New Roman" w:cs="Times New Roman"/>
        </w:rPr>
        <w:t>, provide a structural governance foundation for bankability improvement that should progressively manifest in improved lender and investor appetite for Nigerian oil and gas project finance as the new institutional framework becomes established and its governance performance validated.</w:t>
      </w:r>
      <w:r w:rsidRPr="00353F2F">
        <w:rPr>
          <w:rStyle w:val="FootnoteReference"/>
          <w:rFonts w:ascii="Times New Roman" w:hAnsi="Times New Roman" w:cs="Times New Roman"/>
        </w:rPr>
        <w:footnoteReference w:id="467"/>
      </w:r>
      <w:r w:rsidRPr="00353F2F">
        <w:rPr>
          <w:rFonts w:ascii="Times New Roman" w:hAnsi="Times New Roman" w:cs="Times New Roman"/>
        </w:rPr>
        <w:t xml:space="preserve"> The Nigeria Sovereign Investment Authority's role as a long-term institutional investor in Nigerian infrastructure, investing the country's excess petroleum revenues in bankable infrastructure projects through the NSIA's infrastructure fund, provides a domestic institutional anchor for governance-driven bankability improvement, demonstrating the Government of Nigeria's commitment to governance quality as a prerequisite for project investment.</w:t>
      </w:r>
      <w:r w:rsidRPr="00353F2F">
        <w:rPr>
          <w:rStyle w:val="FootnoteReference"/>
          <w:rFonts w:ascii="Times New Roman" w:hAnsi="Times New Roman" w:cs="Times New Roman"/>
        </w:rPr>
        <w:footnoteReference w:id="468"/>
      </w:r>
      <w:r w:rsidRPr="00353F2F">
        <w:rPr>
          <w:rFonts w:ascii="Times New Roman" w:hAnsi="Times New Roman" w:cs="Times New Roman"/>
        </w:rPr>
        <w:t xml:space="preserve"> The World Bank's ongoing engagement with Nigerian governance reform, through its diagnostic work, technical assistance </w:t>
      </w:r>
      <w:proofErr w:type="spellStart"/>
      <w:r w:rsidRPr="00353F2F">
        <w:rPr>
          <w:rFonts w:ascii="Times New Roman" w:hAnsi="Times New Roman" w:cs="Times New Roman"/>
        </w:rPr>
        <w:t>programmes</w:t>
      </w:r>
      <w:proofErr w:type="spellEnd"/>
      <w:r w:rsidRPr="00353F2F">
        <w:rPr>
          <w:rFonts w:ascii="Times New Roman" w:hAnsi="Times New Roman" w:cs="Times New Roman"/>
        </w:rPr>
        <w:t xml:space="preserve">, and financing of institutional capacity building, provides sustained international support for </w:t>
      </w:r>
      <w:r w:rsidRPr="00353F2F">
        <w:rPr>
          <w:rFonts w:ascii="Times New Roman" w:hAnsi="Times New Roman" w:cs="Times New Roman"/>
        </w:rPr>
        <w:lastRenderedPageBreak/>
        <w:t>the domestic governance reform agenda.</w:t>
      </w:r>
      <w:r w:rsidRPr="00353F2F">
        <w:rPr>
          <w:rStyle w:val="FootnoteReference"/>
          <w:rFonts w:ascii="Times New Roman" w:hAnsi="Times New Roman" w:cs="Times New Roman"/>
        </w:rPr>
        <w:footnoteReference w:id="469"/>
      </w:r>
      <w:r w:rsidRPr="00353F2F">
        <w:rPr>
          <w:rFonts w:ascii="Times New Roman" w:hAnsi="Times New Roman" w:cs="Times New Roman"/>
        </w:rPr>
        <w:t xml:space="preserve"> The Federal Government's PPP </w:t>
      </w:r>
      <w:proofErr w:type="spellStart"/>
      <w:r w:rsidRPr="00353F2F">
        <w:rPr>
          <w:rFonts w:ascii="Times New Roman" w:hAnsi="Times New Roman" w:cs="Times New Roman"/>
        </w:rPr>
        <w:t>programme</w:t>
      </w:r>
      <w:proofErr w:type="spellEnd"/>
      <w:r w:rsidRPr="00353F2F">
        <w:rPr>
          <w:rFonts w:ascii="Times New Roman" w:hAnsi="Times New Roman" w:cs="Times New Roman"/>
        </w:rPr>
        <w:t>, managed through the ICRC and supported by the Federal Ministry of Finance's PPP Manual, provides an institutional framework for delivering governance-compliant infrastructure projects that can serve as governance demonstration projects, establishing track records of successful governance implementation that build market confidence and attract private investment.</w:t>
      </w:r>
      <w:r w:rsidRPr="00353F2F">
        <w:rPr>
          <w:rStyle w:val="FootnoteReference"/>
          <w:rFonts w:ascii="Times New Roman" w:hAnsi="Times New Roman" w:cs="Times New Roman"/>
        </w:rPr>
        <w:footnoteReference w:id="470"/>
      </w:r>
      <w:r w:rsidRPr="00353F2F">
        <w:rPr>
          <w:rFonts w:ascii="Times New Roman" w:hAnsi="Times New Roman" w:cs="Times New Roman"/>
        </w:rPr>
        <w:t xml:space="preserve"> The Arbitration and Mediation Act 2023's improvements to dispute resolution governance reduce a major source of governance uncertainty that has historically deterred international lenders from Nigerian project finance, improving the enforceability of governance safeguards in project finance documentation and thereby strengthening the commercial case for governance investment.</w:t>
      </w:r>
      <w:r w:rsidRPr="00353F2F">
        <w:rPr>
          <w:rStyle w:val="FootnoteReference"/>
          <w:rFonts w:ascii="Times New Roman" w:hAnsi="Times New Roman" w:cs="Times New Roman"/>
        </w:rPr>
        <w:footnoteReference w:id="471"/>
      </w:r>
    </w:p>
    <w:p w14:paraId="6DAE2B25" w14:textId="77777777" w:rsidR="00353F2F" w:rsidRPr="00353F2F" w:rsidRDefault="00353F2F" w:rsidP="00353F2F">
      <w:pPr>
        <w:spacing w:before="180" w:after="180" w:line="480" w:lineRule="auto"/>
        <w:jc w:val="both"/>
        <w:rPr>
          <w:rFonts w:ascii="Times New Roman" w:hAnsi="Times New Roman" w:cs="Times New Roman"/>
        </w:rPr>
      </w:pPr>
      <w:r w:rsidRPr="00353F2F">
        <w:rPr>
          <w:rFonts w:ascii="Times New Roman" w:hAnsi="Times New Roman" w:cs="Times New Roman"/>
        </w:rPr>
        <w:t>The prospects for governance-driven bankability improvement in Nigerian project finance are ultimately inseparable from the prospects for broader governance improvement in Nigerian institutions, markets, and business culture. Optimistic assessments of the trajectory of Nigerian project finance market development, predicting continued market maturation as governance quality improves and international capital becomes more accessible, is tempered by his acknowledgement that the pace of improvement depends critically on the consistency and ambition of the domestic governance reform agenda.</w:t>
      </w:r>
      <w:r w:rsidRPr="00353F2F">
        <w:rPr>
          <w:rStyle w:val="FootnoteReference"/>
          <w:rFonts w:ascii="Times New Roman" w:hAnsi="Times New Roman" w:cs="Times New Roman"/>
        </w:rPr>
        <w:footnoteReference w:id="472"/>
      </w:r>
      <w:r w:rsidRPr="00353F2F">
        <w:rPr>
          <w:rFonts w:ascii="Times New Roman" w:hAnsi="Times New Roman" w:cs="Times New Roman"/>
        </w:rPr>
        <w:t xml:space="preserve"> </w:t>
      </w:r>
    </w:p>
    <w:p w14:paraId="15580310" w14:textId="77777777" w:rsidR="000B476C" w:rsidRPr="00353F2F" w:rsidRDefault="000B476C" w:rsidP="00353F2F">
      <w:pPr>
        <w:spacing w:line="480" w:lineRule="auto"/>
        <w:rPr>
          <w:rFonts w:ascii="Times New Roman" w:hAnsi="Times New Roman" w:cs="Times New Roman"/>
          <w:sz w:val="24"/>
          <w:szCs w:val="24"/>
        </w:rPr>
      </w:pPr>
    </w:p>
    <w:sectPr w:rsidR="000B476C" w:rsidRPr="00353F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27E184" w14:textId="77777777" w:rsidR="00413381" w:rsidRDefault="00413381" w:rsidP="00897B51">
      <w:pPr>
        <w:spacing w:after="0" w:line="240" w:lineRule="auto"/>
      </w:pPr>
      <w:r>
        <w:separator/>
      </w:r>
    </w:p>
  </w:endnote>
  <w:endnote w:type="continuationSeparator" w:id="0">
    <w:p w14:paraId="7BADF17F" w14:textId="77777777" w:rsidR="00413381" w:rsidRDefault="00413381" w:rsidP="00897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76E0E" w14:textId="77777777" w:rsidR="00413381" w:rsidRDefault="00413381" w:rsidP="00897B51">
      <w:pPr>
        <w:spacing w:after="0" w:line="240" w:lineRule="auto"/>
      </w:pPr>
      <w:r>
        <w:separator/>
      </w:r>
    </w:p>
  </w:footnote>
  <w:footnote w:type="continuationSeparator" w:id="0">
    <w:p w14:paraId="0C742463" w14:textId="77777777" w:rsidR="00413381" w:rsidRDefault="00413381" w:rsidP="00897B51">
      <w:pPr>
        <w:spacing w:after="0" w:line="240" w:lineRule="auto"/>
      </w:pPr>
      <w:r>
        <w:continuationSeparator/>
      </w:r>
    </w:p>
  </w:footnote>
  <w:footnote w:id="1">
    <w:p w14:paraId="4A1DE4AF"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Ibrahim I., ‘Addressing Payment Risks in Nigerian Project Finance Transactions’ (October 30 2025) </w:t>
      </w:r>
      <w:r>
        <w:rPr>
          <w:rFonts w:ascii="Times New Roman" w:hAnsi="Times New Roman" w:cs="Times New Roman"/>
        </w:rPr>
        <w:t xml:space="preserve">Available at </w:t>
      </w:r>
      <w:hyperlink r:id="rId1" w:history="1">
        <w:r w:rsidRPr="00E02ACC">
          <w:rPr>
            <w:rStyle w:val="Hyperlink"/>
            <w:rFonts w:ascii="Times New Roman" w:hAnsi="Times New Roman" w:cs="Times New Roman"/>
          </w:rPr>
          <w:t>https://ssrn.com/abstract=5890802</w:t>
        </w:r>
      </w:hyperlink>
      <w:r w:rsidRPr="005E031D">
        <w:rPr>
          <w:rFonts w:ascii="Times New Roman" w:hAnsi="Times New Roman" w:cs="Times New Roman"/>
        </w:rPr>
        <w:t xml:space="preserve"> accessed 16 February 2026.</w:t>
      </w:r>
    </w:p>
  </w:footnote>
  <w:footnote w:id="2">
    <w:p w14:paraId="77DADB59"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w:t>
      </w:r>
      <w:proofErr w:type="spellStart"/>
      <w:r w:rsidRPr="005E031D">
        <w:rPr>
          <w:rFonts w:ascii="Times New Roman" w:hAnsi="Times New Roman" w:cs="Times New Roman"/>
        </w:rPr>
        <w:t>Dahiru</w:t>
      </w:r>
      <w:proofErr w:type="spellEnd"/>
      <w:r w:rsidRPr="005E031D">
        <w:rPr>
          <w:rFonts w:ascii="Times New Roman" w:hAnsi="Times New Roman" w:cs="Times New Roman"/>
        </w:rPr>
        <w:t xml:space="preserve"> U., Sani S., Umar S., Muhammad A. K., ‘Moderating Effect of Corporate Social Responsibility Disclosure (Economic Dimension) on Board Governance Mechanisms and Financial Performance of Listed Manufacturing Firms in Nigeria, </w:t>
      </w:r>
      <w:r w:rsidRPr="005E031D">
        <w:rPr>
          <w:rFonts w:ascii="Times New Roman" w:hAnsi="Times New Roman" w:cs="Times New Roman"/>
          <w:i/>
          <w:iCs/>
        </w:rPr>
        <w:t>Journal of Financial Reporting and Corporate Governance,</w:t>
      </w:r>
      <w:r w:rsidRPr="005E031D">
        <w:rPr>
          <w:rFonts w:ascii="Times New Roman" w:hAnsi="Times New Roman" w:cs="Times New Roman"/>
        </w:rPr>
        <w:t xml:space="preserve"> (2025) Vol 1 (1) p 66 Available at </w:t>
      </w:r>
      <w:hyperlink r:id="rId2" w:history="1">
        <w:r w:rsidRPr="005E031D">
          <w:rPr>
            <w:rStyle w:val="Hyperlink"/>
            <w:rFonts w:ascii="Times New Roman" w:hAnsi="Times New Roman" w:cs="Times New Roman"/>
          </w:rPr>
          <w:t>https://frcnigeria.gov.ng/wp-content/uploads/2025/07/MODERATING-EFFECT-OF-CORPORATE-SOCIAL-RESPONSIBILITY-DISCLOSURE-ECONOMIC-DIMENSTION-ON-BOARD-GOVERNANC.pdf?utm_</w:t>
        </w:r>
      </w:hyperlink>
      <w:r w:rsidRPr="005E031D">
        <w:rPr>
          <w:rFonts w:ascii="Times New Roman" w:hAnsi="Times New Roman" w:cs="Times New Roman"/>
        </w:rPr>
        <w:t xml:space="preserve"> accessed 16 February 2026.</w:t>
      </w:r>
    </w:p>
  </w:footnote>
  <w:footnote w:id="3">
    <w:p w14:paraId="221DD401"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Oluwafemi M. A., To What Extent Does Corporate Governance Influence Financial Performance of Banks in Nigeria?</w:t>
      </w:r>
      <w:r>
        <w:rPr>
          <w:rFonts w:ascii="Times New Roman" w:hAnsi="Times New Roman" w:cs="Times New Roman"/>
        </w:rPr>
        <w:t xml:space="preserve"> Available at</w:t>
      </w:r>
      <w:r w:rsidRPr="005E031D">
        <w:rPr>
          <w:rFonts w:ascii="Times New Roman" w:hAnsi="Times New Roman" w:cs="Times New Roman"/>
        </w:rPr>
        <w:t xml:space="preserve"> </w:t>
      </w:r>
      <w:hyperlink r:id="rId3" w:history="1">
        <w:r w:rsidRPr="005E031D">
          <w:rPr>
            <w:rStyle w:val="Hyperlink"/>
            <w:rFonts w:ascii="Times New Roman" w:hAnsi="Times New Roman" w:cs="Times New Roman"/>
          </w:rPr>
          <w:t>https://ssrn.com/abstract=4619057</w:t>
        </w:r>
      </w:hyperlink>
      <w:r w:rsidRPr="005E031D">
        <w:rPr>
          <w:rFonts w:ascii="Times New Roman" w:hAnsi="Times New Roman" w:cs="Times New Roman"/>
        </w:rPr>
        <w:t xml:space="preserve"> accessed 16 February 2026.</w:t>
      </w:r>
    </w:p>
  </w:footnote>
  <w:footnote w:id="4">
    <w:p w14:paraId="6D5AE8C7" w14:textId="77777777" w:rsidR="00897B51" w:rsidRDefault="00897B51" w:rsidP="00897B51">
      <w:pPr>
        <w:pStyle w:val="FootnoteText"/>
        <w:jc w:val="both"/>
      </w:pPr>
      <w:r>
        <w:rPr>
          <w:rStyle w:val="FootnoteReference"/>
        </w:rPr>
        <w:footnoteRef/>
      </w:r>
      <w:r>
        <w:t xml:space="preserve"> </w:t>
      </w:r>
      <w:r w:rsidRPr="005E031D">
        <w:rPr>
          <w:rFonts w:ascii="Times New Roman" w:hAnsi="Times New Roman" w:cs="Times New Roman"/>
        </w:rPr>
        <w:t xml:space="preserve">ICRC’s PPP Financial Model Guide: Pioneering Transparency in Nigeria’s Infrastructure, </w:t>
      </w:r>
      <w:r w:rsidRPr="005E031D">
        <w:rPr>
          <w:rFonts w:ascii="Times New Roman" w:hAnsi="Times New Roman" w:cs="Times New Roman"/>
          <w:i/>
          <w:iCs/>
        </w:rPr>
        <w:t>OALP Infrastructure Newsletter</w:t>
      </w:r>
      <w:r w:rsidRPr="005E031D">
        <w:rPr>
          <w:rFonts w:ascii="Times New Roman" w:hAnsi="Times New Roman" w:cs="Times New Roman"/>
        </w:rPr>
        <w:t>, September 2025.</w:t>
      </w:r>
      <w:r>
        <w:rPr>
          <w:rFonts w:ascii="Times New Roman" w:hAnsi="Times New Roman" w:cs="Times New Roman"/>
        </w:rPr>
        <w:t xml:space="preserve"> Available at </w:t>
      </w:r>
      <w:hyperlink r:id="rId4" w:history="1">
        <w:r w:rsidRPr="00E02ACC">
          <w:rPr>
            <w:rStyle w:val="Hyperlink"/>
            <w:rFonts w:ascii="Times New Roman" w:hAnsi="Times New Roman" w:cs="Times New Roman"/>
          </w:rPr>
          <w:t>https://www.olaniwunajayi.net/wp-content/uploads/2025/09/PPP_Financial_Model_Guide_Olaniwun-Ajayi-September-2025.pdf</w:t>
        </w:r>
      </w:hyperlink>
      <w:r w:rsidRPr="005E031D">
        <w:rPr>
          <w:rFonts w:ascii="Times New Roman" w:hAnsi="Times New Roman" w:cs="Times New Roman"/>
        </w:rPr>
        <w:t xml:space="preserve"> accessed 16 February 2026.</w:t>
      </w:r>
    </w:p>
  </w:footnote>
  <w:footnote w:id="5">
    <w:p w14:paraId="53A0FFE5"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CAMA 2020, ss</w:t>
      </w:r>
    </w:p>
  </w:footnote>
  <w:footnote w:id="6">
    <w:p w14:paraId="6285D9B8"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Ibid</w:t>
      </w:r>
    </w:p>
  </w:footnote>
  <w:footnote w:id="7">
    <w:p w14:paraId="43FE4667"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w:t>
      </w:r>
      <w:r>
        <w:rPr>
          <w:rFonts w:ascii="Times New Roman" w:hAnsi="Times New Roman" w:cs="Times New Roman"/>
        </w:rPr>
        <w:t xml:space="preserve">Sadiq </w:t>
      </w:r>
      <w:proofErr w:type="spellStart"/>
      <w:r w:rsidRPr="005E031D">
        <w:rPr>
          <w:rFonts w:ascii="Times New Roman" w:hAnsi="Times New Roman" w:cs="Times New Roman"/>
        </w:rPr>
        <w:t>Nura</w:t>
      </w:r>
      <w:proofErr w:type="spellEnd"/>
      <w:r w:rsidRPr="005E031D">
        <w:rPr>
          <w:rFonts w:ascii="Times New Roman" w:hAnsi="Times New Roman" w:cs="Times New Roman"/>
        </w:rPr>
        <w:t xml:space="preserve"> </w:t>
      </w:r>
      <w:r>
        <w:rPr>
          <w:rFonts w:ascii="Times New Roman" w:hAnsi="Times New Roman" w:cs="Times New Roman"/>
        </w:rPr>
        <w:t>and</w:t>
      </w:r>
      <w:r w:rsidRPr="005E031D">
        <w:rPr>
          <w:rFonts w:ascii="Times New Roman" w:hAnsi="Times New Roman" w:cs="Times New Roman"/>
        </w:rPr>
        <w:t xml:space="preserve"> </w:t>
      </w:r>
      <w:r>
        <w:rPr>
          <w:rFonts w:ascii="Times New Roman" w:hAnsi="Times New Roman" w:cs="Times New Roman"/>
        </w:rPr>
        <w:t xml:space="preserve">Khaleel Bako </w:t>
      </w:r>
      <w:proofErr w:type="spellStart"/>
      <w:r w:rsidRPr="005E031D">
        <w:rPr>
          <w:rFonts w:ascii="Times New Roman" w:hAnsi="Times New Roman" w:cs="Times New Roman"/>
        </w:rPr>
        <w:t>Hayatu</w:t>
      </w:r>
      <w:proofErr w:type="spellEnd"/>
      <w:r w:rsidRPr="005E031D">
        <w:rPr>
          <w:rFonts w:ascii="Times New Roman" w:hAnsi="Times New Roman" w:cs="Times New Roman"/>
        </w:rPr>
        <w:t xml:space="preserve">, ‘The Impact of Corporate Governance on Compliance with Financial Instruments Disclosure </w:t>
      </w:r>
      <w:proofErr w:type="gramStart"/>
      <w:r w:rsidRPr="005E031D">
        <w:rPr>
          <w:rFonts w:ascii="Times New Roman" w:hAnsi="Times New Roman" w:cs="Times New Roman"/>
        </w:rPr>
        <w:t>By</w:t>
      </w:r>
      <w:proofErr w:type="gramEnd"/>
      <w:r w:rsidRPr="005E031D">
        <w:rPr>
          <w:rFonts w:ascii="Times New Roman" w:hAnsi="Times New Roman" w:cs="Times New Roman"/>
        </w:rPr>
        <w:t xml:space="preserve"> Listed Deposit Money Banks in Nigeria’, </w:t>
      </w:r>
      <w:r w:rsidRPr="005E031D">
        <w:rPr>
          <w:rFonts w:ascii="Times New Roman" w:hAnsi="Times New Roman" w:cs="Times New Roman"/>
          <w:i/>
          <w:iCs/>
        </w:rPr>
        <w:t>International Journal of Innovative Finance and Economics Research 13(1): 7 -17, Jan-Mar 2025,</w:t>
      </w:r>
      <w:r w:rsidRPr="005E031D">
        <w:rPr>
          <w:rFonts w:ascii="Times New Roman" w:hAnsi="Times New Roman" w:cs="Times New Roman"/>
        </w:rPr>
        <w:t xml:space="preserve"> </w:t>
      </w:r>
      <w:proofErr w:type="spellStart"/>
      <w:r w:rsidRPr="005E031D">
        <w:rPr>
          <w:rFonts w:ascii="Times New Roman" w:hAnsi="Times New Roman" w:cs="Times New Roman"/>
        </w:rPr>
        <w:t>Seahi</w:t>
      </w:r>
      <w:proofErr w:type="spellEnd"/>
      <w:r w:rsidRPr="005E031D">
        <w:rPr>
          <w:rFonts w:ascii="Times New Roman" w:hAnsi="Times New Roman" w:cs="Times New Roman"/>
        </w:rPr>
        <w:t xml:space="preserve"> Publications 2025 accessed 15 February 2026.</w:t>
      </w:r>
    </w:p>
  </w:footnote>
  <w:footnote w:id="8">
    <w:p w14:paraId="0CDFC01A"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w:t>
      </w:r>
      <w:proofErr w:type="spellStart"/>
      <w:r>
        <w:rPr>
          <w:rFonts w:ascii="Times New Roman" w:hAnsi="Times New Roman" w:cs="Times New Roman"/>
        </w:rPr>
        <w:t>Olusayo</w:t>
      </w:r>
      <w:proofErr w:type="spellEnd"/>
      <w:r>
        <w:rPr>
          <w:rFonts w:ascii="Times New Roman" w:hAnsi="Times New Roman" w:cs="Times New Roman"/>
        </w:rPr>
        <w:t xml:space="preserve"> </w:t>
      </w:r>
      <w:proofErr w:type="spellStart"/>
      <w:r>
        <w:rPr>
          <w:rFonts w:ascii="Times New Roman" w:hAnsi="Times New Roman" w:cs="Times New Roman"/>
        </w:rPr>
        <w:t>Oyebanji</w:t>
      </w:r>
      <w:proofErr w:type="spellEnd"/>
      <w:r>
        <w:rPr>
          <w:rFonts w:ascii="Times New Roman" w:hAnsi="Times New Roman" w:cs="Times New Roman"/>
        </w:rPr>
        <w:t xml:space="preserve"> </w:t>
      </w:r>
      <w:proofErr w:type="spellStart"/>
      <w:r w:rsidRPr="005E031D">
        <w:rPr>
          <w:rFonts w:ascii="Times New Roman" w:hAnsi="Times New Roman" w:cs="Times New Roman"/>
        </w:rPr>
        <w:t>Akanbi</w:t>
      </w:r>
      <w:proofErr w:type="spellEnd"/>
      <w:r w:rsidRPr="005E031D">
        <w:rPr>
          <w:rFonts w:ascii="Times New Roman" w:hAnsi="Times New Roman" w:cs="Times New Roman"/>
        </w:rPr>
        <w:t xml:space="preserve"> and </w:t>
      </w:r>
      <w:r>
        <w:rPr>
          <w:rFonts w:ascii="Times New Roman" w:hAnsi="Times New Roman" w:cs="Times New Roman"/>
        </w:rPr>
        <w:t xml:space="preserve">Liyanage L. </w:t>
      </w:r>
      <w:r w:rsidRPr="005E031D">
        <w:rPr>
          <w:rFonts w:ascii="Times New Roman" w:hAnsi="Times New Roman" w:cs="Times New Roman"/>
        </w:rPr>
        <w:t xml:space="preserve">Champika, ‘Infrastructure Provision Through Public-Private Partnerships: Nigeria Experience’ 13 Available at </w:t>
      </w:r>
      <w:hyperlink r:id="rId5" w:history="1">
        <w:r w:rsidRPr="005E031D">
          <w:rPr>
            <w:rStyle w:val="Hyperlink"/>
            <w:rFonts w:ascii="Times New Roman" w:hAnsi="Times New Roman" w:cs="Times New Roman"/>
          </w:rPr>
          <w:t>https://knowledge.lancashire.ac.uk/id/eprint/18011/1/Chapter%208%20Nigeria%20final%20Corrections%20%2822016.11.30%29.pdf</w:t>
        </w:r>
      </w:hyperlink>
      <w:r w:rsidRPr="005E031D">
        <w:rPr>
          <w:rFonts w:ascii="Times New Roman" w:hAnsi="Times New Roman" w:cs="Times New Roman"/>
        </w:rPr>
        <w:t xml:space="preserve"> accessed 21 February 2026.</w:t>
      </w:r>
    </w:p>
  </w:footnote>
  <w:footnote w:id="9">
    <w:p w14:paraId="7ED96162"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Prisca </w:t>
      </w:r>
      <w:proofErr w:type="spellStart"/>
      <w:r w:rsidRPr="005E031D">
        <w:rPr>
          <w:rFonts w:ascii="Times New Roman" w:hAnsi="Times New Roman" w:cs="Times New Roman"/>
        </w:rPr>
        <w:t>N</w:t>
      </w:r>
      <w:r>
        <w:rPr>
          <w:rFonts w:ascii="Times New Roman" w:hAnsi="Times New Roman" w:cs="Times New Roman"/>
        </w:rPr>
        <w:t>du</w:t>
      </w:r>
      <w:proofErr w:type="spellEnd"/>
      <w:r w:rsidRPr="005E031D">
        <w:rPr>
          <w:rFonts w:ascii="Times New Roman" w:hAnsi="Times New Roman" w:cs="Times New Roman"/>
        </w:rPr>
        <w:t xml:space="preserve">, ‘Strengthening Corporate Governance and Financial Resilience in Nigeria. A Practical Agenda for Stable Growth, Investor Confidence and Long-Term Economic Stability’, </w:t>
      </w:r>
      <w:r w:rsidRPr="005E031D">
        <w:rPr>
          <w:rFonts w:ascii="Times New Roman" w:hAnsi="Times New Roman" w:cs="Times New Roman"/>
          <w:i/>
          <w:iCs/>
        </w:rPr>
        <w:t>Business Day Newspaper,</w:t>
      </w:r>
      <w:r w:rsidRPr="005E031D">
        <w:rPr>
          <w:rFonts w:ascii="Times New Roman" w:hAnsi="Times New Roman" w:cs="Times New Roman"/>
        </w:rPr>
        <w:t xml:space="preserve"> January 23 2026 &lt;accessed 16 February 2026&gt;</w:t>
      </w:r>
    </w:p>
  </w:footnote>
  <w:footnote w:id="10">
    <w:p w14:paraId="7479F8CA"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Ibid 5</w:t>
      </w:r>
    </w:p>
  </w:footnote>
  <w:footnote w:id="11">
    <w:p w14:paraId="064A57E5"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Ibid 5</w:t>
      </w:r>
    </w:p>
  </w:footnote>
  <w:footnote w:id="12">
    <w:p w14:paraId="6D1A9F11" w14:textId="77777777" w:rsidR="00897B51" w:rsidRPr="005E031D" w:rsidRDefault="00897B51" w:rsidP="00897B51">
      <w:pPr>
        <w:pStyle w:val="FootnoteText"/>
        <w:jc w:val="both"/>
        <w:rPr>
          <w:rFonts w:ascii="Times New Roman" w:hAnsi="Times New Roman" w:cs="Times New Roman"/>
        </w:rPr>
      </w:pPr>
      <w:r w:rsidRPr="005E031D">
        <w:rPr>
          <w:rStyle w:val="FootnoteReference"/>
          <w:rFonts w:ascii="Times New Roman" w:hAnsi="Times New Roman" w:cs="Times New Roman"/>
        </w:rPr>
        <w:footnoteRef/>
      </w:r>
      <w:r w:rsidRPr="005E031D">
        <w:rPr>
          <w:rFonts w:ascii="Times New Roman" w:hAnsi="Times New Roman" w:cs="Times New Roman"/>
        </w:rPr>
        <w:t xml:space="preserve"> Ibid 6</w:t>
      </w:r>
    </w:p>
  </w:footnote>
  <w:footnote w:id="13">
    <w:p w14:paraId="315535D4" w14:textId="77777777" w:rsidR="00897B51" w:rsidRDefault="00897B51" w:rsidP="00897B51">
      <w:pPr>
        <w:pStyle w:val="FootnoteText"/>
        <w:jc w:val="both"/>
      </w:pPr>
      <w:r w:rsidRPr="00B10FD1">
        <w:rPr>
          <w:rStyle w:val="FootnoteReference"/>
          <w:rFonts w:ascii="Times New Roman" w:hAnsi="Times New Roman" w:cs="Times New Roman"/>
        </w:rPr>
        <w:footnoteRef/>
      </w:r>
      <w:r w:rsidRPr="00B10FD1">
        <w:rPr>
          <w:rFonts w:ascii="Times New Roman" w:hAnsi="Times New Roman" w:cs="Times New Roman"/>
        </w:rPr>
        <w:t xml:space="preserve"> Nasir Majeed, Amjad </w:t>
      </w:r>
      <w:proofErr w:type="spellStart"/>
      <w:r w:rsidRPr="00B10FD1">
        <w:rPr>
          <w:rFonts w:ascii="Times New Roman" w:hAnsi="Times New Roman" w:cs="Times New Roman"/>
        </w:rPr>
        <w:t>Hilal</w:t>
      </w:r>
      <w:proofErr w:type="spellEnd"/>
      <w:r w:rsidRPr="00B10FD1">
        <w:rPr>
          <w:rFonts w:ascii="Times New Roman" w:hAnsi="Times New Roman" w:cs="Times New Roman"/>
        </w:rPr>
        <w:t xml:space="preserve">, Arshad Nawaz Khan, ‘Doctrinal Research in Law: Meaning, Scope and Methodology’, Bulletin of Business and Economics, 12(4), 559 </w:t>
      </w:r>
      <w:r>
        <w:rPr>
          <w:rFonts w:ascii="Times New Roman" w:hAnsi="Times New Roman" w:cs="Times New Roman"/>
        </w:rPr>
        <w:t>&lt;</w:t>
      </w:r>
      <w:hyperlink r:id="rId6" w:history="1">
        <w:r w:rsidRPr="00FC1D83">
          <w:rPr>
            <w:rStyle w:val="Hyperlink"/>
            <w:rFonts w:ascii="Times New Roman" w:hAnsi="Times New Roman" w:cs="Times New Roman"/>
          </w:rPr>
          <w:t>https://bbejournal.com/index.php/BBE/article/download/666/569/3142</w:t>
        </w:r>
      </w:hyperlink>
      <w:r>
        <w:rPr>
          <w:rFonts w:ascii="Times New Roman" w:hAnsi="Times New Roman" w:cs="Times New Roman"/>
        </w:rPr>
        <w:t>&gt;</w:t>
      </w:r>
      <w:r w:rsidRPr="00497547">
        <w:rPr>
          <w:rFonts w:ascii="Times New Roman" w:hAnsi="Times New Roman" w:cs="Times New Roman"/>
        </w:rPr>
        <w:t xml:space="preserve"> accessed 15 April 2026</w:t>
      </w:r>
    </w:p>
  </w:footnote>
  <w:footnote w:id="14">
    <w:p w14:paraId="2CFEDA29"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Ian </w:t>
      </w:r>
      <w:proofErr w:type="spellStart"/>
      <w:r w:rsidRPr="005C4B3E">
        <w:rPr>
          <w:sz w:val="20"/>
          <w:szCs w:val="20"/>
        </w:rPr>
        <w:t>Tricker</w:t>
      </w:r>
      <w:proofErr w:type="spellEnd"/>
      <w:r w:rsidRPr="005C4B3E">
        <w:rPr>
          <w:sz w:val="20"/>
          <w:szCs w:val="20"/>
        </w:rPr>
        <w:t xml:space="preserve">, Corporate Governance: Principles, Policies and Practices (3rd </w:t>
      </w:r>
      <w:proofErr w:type="spellStart"/>
      <w:r w:rsidRPr="005C4B3E">
        <w:rPr>
          <w:sz w:val="20"/>
          <w:szCs w:val="20"/>
        </w:rPr>
        <w:t>edn</w:t>
      </w:r>
      <w:proofErr w:type="spellEnd"/>
      <w:r w:rsidRPr="005C4B3E">
        <w:rPr>
          <w:sz w:val="20"/>
          <w:szCs w:val="20"/>
        </w:rPr>
        <w:t>, Oxford University Press, 2015) 4.</w:t>
      </w:r>
    </w:p>
  </w:footnote>
  <w:footnote w:id="15">
    <w:p w14:paraId="4804300F"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A.G. </w:t>
      </w:r>
      <w:r w:rsidRPr="005C4B3E">
        <w:rPr>
          <w:sz w:val="20"/>
          <w:szCs w:val="20"/>
        </w:rPr>
        <w:t xml:space="preserve">Monks and </w:t>
      </w:r>
      <w:r>
        <w:rPr>
          <w:sz w:val="20"/>
          <w:szCs w:val="20"/>
        </w:rPr>
        <w:t xml:space="preserve">Nell </w:t>
      </w:r>
      <w:proofErr w:type="spellStart"/>
      <w:r w:rsidRPr="005C4B3E">
        <w:rPr>
          <w:sz w:val="20"/>
          <w:szCs w:val="20"/>
        </w:rPr>
        <w:t>Minow</w:t>
      </w:r>
      <w:proofErr w:type="spellEnd"/>
      <w:r w:rsidRPr="005C4B3E">
        <w:rPr>
          <w:sz w:val="20"/>
          <w:szCs w:val="20"/>
        </w:rPr>
        <w:t xml:space="preserve">, Corporate Governance (4th </w:t>
      </w:r>
      <w:proofErr w:type="spellStart"/>
      <w:r w:rsidRPr="005C4B3E">
        <w:rPr>
          <w:sz w:val="20"/>
          <w:szCs w:val="20"/>
        </w:rPr>
        <w:t>edn</w:t>
      </w:r>
      <w:proofErr w:type="spellEnd"/>
      <w:r w:rsidRPr="005C4B3E">
        <w:rPr>
          <w:sz w:val="20"/>
          <w:szCs w:val="20"/>
        </w:rPr>
        <w:t>, Blackwell Publishing, 2008) 1.</w:t>
      </w:r>
    </w:p>
  </w:footnote>
  <w:footnote w:id="16">
    <w:p w14:paraId="63B48F21"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Ian </w:t>
      </w:r>
      <w:proofErr w:type="spellStart"/>
      <w:r w:rsidRPr="005C4B3E">
        <w:rPr>
          <w:sz w:val="20"/>
          <w:szCs w:val="20"/>
        </w:rPr>
        <w:t>Tricker</w:t>
      </w:r>
      <w:proofErr w:type="spellEnd"/>
      <w:r w:rsidRPr="005C4B3E">
        <w:rPr>
          <w:sz w:val="20"/>
          <w:szCs w:val="20"/>
        </w:rPr>
        <w:t xml:space="preserve">, </w:t>
      </w:r>
      <w:r>
        <w:rPr>
          <w:sz w:val="20"/>
          <w:szCs w:val="20"/>
        </w:rPr>
        <w:t>(n 14)</w:t>
      </w:r>
      <w:r w:rsidRPr="005C4B3E">
        <w:rPr>
          <w:sz w:val="20"/>
          <w:szCs w:val="20"/>
        </w:rPr>
        <w:t xml:space="preserve"> 36.</w:t>
      </w:r>
    </w:p>
  </w:footnote>
  <w:footnote w:id="17">
    <w:p w14:paraId="20E3E37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Cadbury Committee Report, 'Report of the Committee on the Financial Aspects of Corporate Governance' (Gee Publishing, 1992) 15.</w:t>
      </w:r>
    </w:p>
  </w:footnote>
  <w:footnote w:id="18">
    <w:p w14:paraId="619A3D72" w14:textId="77777777" w:rsidR="00897B51" w:rsidRPr="005C4B3E" w:rsidRDefault="00897B51" w:rsidP="00897B51">
      <w:pPr>
        <w:spacing w:after="60"/>
        <w:jc w:val="both"/>
        <w:rPr>
          <w:sz w:val="20"/>
          <w:szCs w:val="20"/>
        </w:rPr>
      </w:pPr>
      <w:r w:rsidRPr="005C4B3E">
        <w:rPr>
          <w:rStyle w:val="FootnoteReference"/>
          <w:sz w:val="20"/>
          <w:szCs w:val="20"/>
        </w:rPr>
        <w:footnoteRef/>
      </w:r>
      <w:r w:rsidRPr="004A2A5C">
        <w:rPr>
          <w:sz w:val="20"/>
          <w:szCs w:val="20"/>
        </w:rPr>
        <w:t>Organization for Economic Co-operation and Development, OECD Principles of Corporate Governance (OECD Publishing, 2004</w:t>
      </w:r>
      <w:r w:rsidRPr="005C4B3E">
        <w:rPr>
          <w:sz w:val="20"/>
          <w:szCs w:val="20"/>
        </w:rPr>
        <w:t>) 11.</w:t>
      </w:r>
    </w:p>
  </w:footnote>
  <w:footnote w:id="19">
    <w:p w14:paraId="753429DC"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N</w:t>
      </w:r>
      <w:r>
        <w:rPr>
          <w:sz w:val="20"/>
          <w:szCs w:val="20"/>
        </w:rPr>
        <w:t>CCG</w:t>
      </w:r>
      <w:r w:rsidRPr="005C4B3E">
        <w:rPr>
          <w:sz w:val="20"/>
          <w:szCs w:val="20"/>
        </w:rPr>
        <w:t xml:space="preserve"> 2018 Rule 1.2.</w:t>
      </w:r>
    </w:p>
  </w:footnote>
  <w:footnote w:id="20">
    <w:p w14:paraId="6D36C8E4"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C</w:t>
      </w:r>
      <w:r>
        <w:rPr>
          <w:sz w:val="20"/>
          <w:szCs w:val="20"/>
        </w:rPr>
        <w:t>AMA</w:t>
      </w:r>
      <w:r w:rsidRPr="005C4B3E">
        <w:rPr>
          <w:sz w:val="20"/>
          <w:szCs w:val="20"/>
        </w:rPr>
        <w:t xml:space="preserve"> 2020, s 265.</w:t>
      </w:r>
    </w:p>
  </w:footnote>
  <w:footnote w:id="21">
    <w:p w14:paraId="69C5C94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Central Bank of Nigeria, Code of Corporate Governance for Banks and Discount Houses in Nigeria (CBN, 2014) para 1.3.</w:t>
      </w:r>
    </w:p>
  </w:footnote>
  <w:footnote w:id="22">
    <w:p w14:paraId="63C7FC77"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w:t>
      </w:r>
      <w:r>
        <w:rPr>
          <w:sz w:val="20"/>
          <w:szCs w:val="20"/>
        </w:rPr>
        <w:t>SA</w:t>
      </w:r>
      <w:r w:rsidRPr="005C4B3E">
        <w:rPr>
          <w:sz w:val="20"/>
          <w:szCs w:val="20"/>
        </w:rPr>
        <w:t xml:space="preserve"> 20</w:t>
      </w:r>
      <w:r>
        <w:rPr>
          <w:sz w:val="20"/>
          <w:szCs w:val="20"/>
        </w:rPr>
        <w:t>25</w:t>
      </w:r>
      <w:r w:rsidRPr="005C4B3E">
        <w:rPr>
          <w:sz w:val="20"/>
          <w:szCs w:val="20"/>
        </w:rPr>
        <w:t xml:space="preserve">, </w:t>
      </w:r>
      <w:r>
        <w:rPr>
          <w:sz w:val="20"/>
          <w:szCs w:val="20"/>
        </w:rPr>
        <w:t>s</w:t>
      </w:r>
      <w:r w:rsidRPr="005C4B3E">
        <w:rPr>
          <w:sz w:val="20"/>
          <w:szCs w:val="20"/>
        </w:rPr>
        <w:t xml:space="preserve">s </w:t>
      </w:r>
      <w:r>
        <w:rPr>
          <w:sz w:val="20"/>
          <w:szCs w:val="20"/>
        </w:rPr>
        <w:t>3(4), 89, 95, 140 and 355(1)(r)(iv),</w:t>
      </w:r>
      <w:r w:rsidRPr="005C4B3E">
        <w:rPr>
          <w:sz w:val="20"/>
          <w:szCs w:val="20"/>
        </w:rPr>
        <w:t>13.</w:t>
      </w:r>
    </w:p>
  </w:footnote>
  <w:footnote w:id="23">
    <w:p w14:paraId="0A2D403E"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World Bank, Report on the Observance of Standards and Codes: Nigeria – Corporate Governance (World Bank, 2012) 8.</w:t>
      </w:r>
    </w:p>
  </w:footnote>
  <w:footnote w:id="24">
    <w:p w14:paraId="05064A4B"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Peter K. </w:t>
      </w:r>
      <w:r w:rsidRPr="005C4B3E">
        <w:rPr>
          <w:sz w:val="20"/>
          <w:szCs w:val="20"/>
        </w:rPr>
        <w:t xml:space="preserve">Nevitt and </w:t>
      </w:r>
      <w:r>
        <w:rPr>
          <w:sz w:val="20"/>
          <w:szCs w:val="20"/>
        </w:rPr>
        <w:t xml:space="preserve">Frank J. </w:t>
      </w:r>
      <w:proofErr w:type="spellStart"/>
      <w:r w:rsidRPr="005C4B3E">
        <w:rPr>
          <w:sz w:val="20"/>
          <w:szCs w:val="20"/>
        </w:rPr>
        <w:t>Fabozzi</w:t>
      </w:r>
      <w:proofErr w:type="spellEnd"/>
      <w:r w:rsidRPr="005C4B3E">
        <w:rPr>
          <w:sz w:val="20"/>
          <w:szCs w:val="20"/>
        </w:rPr>
        <w:t xml:space="preserve">, Project Financing (7th </w:t>
      </w:r>
      <w:proofErr w:type="spellStart"/>
      <w:r w:rsidRPr="005C4B3E">
        <w:rPr>
          <w:sz w:val="20"/>
          <w:szCs w:val="20"/>
        </w:rPr>
        <w:t>edn</w:t>
      </w:r>
      <w:proofErr w:type="spellEnd"/>
      <w:r w:rsidRPr="005C4B3E">
        <w:rPr>
          <w:sz w:val="20"/>
          <w:szCs w:val="20"/>
        </w:rPr>
        <w:t>, Euromoney Books, 2000) 5.</w:t>
      </w:r>
    </w:p>
  </w:footnote>
  <w:footnote w:id="25">
    <w:p w14:paraId="5D5CC276"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Scott L. </w:t>
      </w:r>
      <w:r w:rsidRPr="005C4B3E">
        <w:rPr>
          <w:sz w:val="20"/>
          <w:szCs w:val="20"/>
        </w:rPr>
        <w:t xml:space="preserve">Hoffman, The Law and Business of International Project Finance (3rd </w:t>
      </w:r>
      <w:proofErr w:type="spellStart"/>
      <w:r w:rsidRPr="005C4B3E">
        <w:rPr>
          <w:sz w:val="20"/>
          <w:szCs w:val="20"/>
        </w:rPr>
        <w:t>edn</w:t>
      </w:r>
      <w:proofErr w:type="spellEnd"/>
      <w:r w:rsidRPr="005C4B3E">
        <w:rPr>
          <w:sz w:val="20"/>
          <w:szCs w:val="20"/>
        </w:rPr>
        <w:t>, Cambridge University Press, 2008)</w:t>
      </w:r>
      <w:r>
        <w:rPr>
          <w:sz w:val="20"/>
          <w:szCs w:val="20"/>
        </w:rPr>
        <w:t xml:space="preserve"> </w:t>
      </w:r>
      <w:r w:rsidRPr="005C4B3E">
        <w:rPr>
          <w:sz w:val="20"/>
          <w:szCs w:val="20"/>
        </w:rPr>
        <w:t>3.</w:t>
      </w:r>
    </w:p>
  </w:footnote>
  <w:footnote w:id="26">
    <w:p w14:paraId="4A9D10F1"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Edward R. </w:t>
      </w:r>
      <w:proofErr w:type="spellStart"/>
      <w:r w:rsidRPr="005C4B3E">
        <w:rPr>
          <w:sz w:val="20"/>
          <w:szCs w:val="20"/>
        </w:rPr>
        <w:t>Yescombe</w:t>
      </w:r>
      <w:proofErr w:type="spellEnd"/>
      <w:r w:rsidRPr="005C4B3E">
        <w:rPr>
          <w:sz w:val="20"/>
          <w:szCs w:val="20"/>
        </w:rPr>
        <w:t xml:space="preserve">, Principles of Project Finance (2nd </w:t>
      </w:r>
      <w:proofErr w:type="spellStart"/>
      <w:r w:rsidRPr="005C4B3E">
        <w:rPr>
          <w:sz w:val="20"/>
          <w:szCs w:val="20"/>
        </w:rPr>
        <w:t>edn</w:t>
      </w:r>
      <w:proofErr w:type="spellEnd"/>
      <w:r w:rsidRPr="005C4B3E">
        <w:rPr>
          <w:sz w:val="20"/>
          <w:szCs w:val="20"/>
        </w:rPr>
        <w:t>, Academic Press, 2014) 3.</w:t>
      </w:r>
    </w:p>
  </w:footnote>
  <w:footnote w:id="27">
    <w:p w14:paraId="069FD2DC"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 xml:space="preserve">., Project Finance in Theory and Practice (2nd </w:t>
      </w:r>
      <w:proofErr w:type="spellStart"/>
      <w:r w:rsidRPr="005C4B3E">
        <w:rPr>
          <w:sz w:val="20"/>
          <w:szCs w:val="20"/>
        </w:rPr>
        <w:t>edn</w:t>
      </w:r>
      <w:proofErr w:type="spellEnd"/>
      <w:r w:rsidRPr="005C4B3E">
        <w:rPr>
          <w:sz w:val="20"/>
          <w:szCs w:val="20"/>
        </w:rPr>
        <w:t>, Academic Press, 2013) 2.</w:t>
      </w:r>
    </w:p>
  </w:footnote>
  <w:footnote w:id="28">
    <w:p w14:paraId="3C68E53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Geoffrey D. </w:t>
      </w:r>
      <w:proofErr w:type="spellStart"/>
      <w:r w:rsidRPr="005C4B3E">
        <w:rPr>
          <w:sz w:val="20"/>
          <w:szCs w:val="20"/>
        </w:rPr>
        <w:t>Vinter</w:t>
      </w:r>
      <w:proofErr w:type="spellEnd"/>
      <w:r w:rsidRPr="005C4B3E">
        <w:rPr>
          <w:sz w:val="20"/>
          <w:szCs w:val="20"/>
        </w:rPr>
        <w:t xml:space="preserve"> and </w:t>
      </w:r>
      <w:r>
        <w:rPr>
          <w:sz w:val="20"/>
          <w:szCs w:val="20"/>
        </w:rPr>
        <w:t xml:space="preserve">Gareth </w:t>
      </w:r>
      <w:r w:rsidRPr="005C4B3E">
        <w:rPr>
          <w:sz w:val="20"/>
          <w:szCs w:val="20"/>
        </w:rPr>
        <w:t xml:space="preserve">Price, Project Finance: A Legal Guide (3rd </w:t>
      </w:r>
      <w:proofErr w:type="spellStart"/>
      <w:r w:rsidRPr="005C4B3E">
        <w:rPr>
          <w:sz w:val="20"/>
          <w:szCs w:val="20"/>
        </w:rPr>
        <w:t>edn</w:t>
      </w:r>
      <w:proofErr w:type="spellEnd"/>
      <w:r w:rsidRPr="005C4B3E">
        <w:rPr>
          <w:sz w:val="20"/>
          <w:szCs w:val="20"/>
        </w:rPr>
        <w:t>, Sweet and Maxwell, 2006) 3.</w:t>
      </w:r>
    </w:p>
  </w:footnote>
  <w:footnote w:id="29">
    <w:p w14:paraId="1F2E37A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John D. </w:t>
      </w:r>
      <w:r w:rsidRPr="005C4B3E">
        <w:rPr>
          <w:sz w:val="20"/>
          <w:szCs w:val="20"/>
        </w:rPr>
        <w:t xml:space="preserve">Finnerty, Project Financing: Asset-Based Financial Engineering (3rd </w:t>
      </w:r>
      <w:proofErr w:type="spellStart"/>
      <w:r w:rsidRPr="005C4B3E">
        <w:rPr>
          <w:sz w:val="20"/>
          <w:szCs w:val="20"/>
        </w:rPr>
        <w:t>edn</w:t>
      </w:r>
      <w:proofErr w:type="spellEnd"/>
      <w:r w:rsidRPr="005C4B3E">
        <w:rPr>
          <w:sz w:val="20"/>
          <w:szCs w:val="20"/>
        </w:rPr>
        <w:t>, John Wiley &amp; Sons, 2013) 4.</w:t>
      </w:r>
    </w:p>
  </w:footnote>
  <w:footnote w:id="30">
    <w:p w14:paraId="4B1A2F94"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 xml:space="preserve">, </w:t>
      </w:r>
      <w:r>
        <w:rPr>
          <w:sz w:val="20"/>
          <w:szCs w:val="20"/>
        </w:rPr>
        <w:t>(n 27)</w:t>
      </w:r>
      <w:r w:rsidRPr="005C4B3E">
        <w:rPr>
          <w:sz w:val="20"/>
          <w:szCs w:val="20"/>
        </w:rPr>
        <w:t xml:space="preserve"> 14.</w:t>
      </w:r>
    </w:p>
  </w:footnote>
  <w:footnote w:id="31">
    <w:p w14:paraId="46A00ACB"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John D. </w:t>
      </w:r>
      <w:r w:rsidRPr="005C4B3E">
        <w:rPr>
          <w:sz w:val="20"/>
          <w:szCs w:val="20"/>
        </w:rPr>
        <w:t xml:space="preserve">Finnerty, </w:t>
      </w:r>
      <w:r>
        <w:rPr>
          <w:sz w:val="20"/>
          <w:szCs w:val="20"/>
        </w:rPr>
        <w:t>(n 29)</w:t>
      </w:r>
      <w:r w:rsidRPr="005C4B3E">
        <w:rPr>
          <w:sz w:val="20"/>
          <w:szCs w:val="20"/>
        </w:rPr>
        <w:t xml:space="preserve"> 2.</w:t>
      </w:r>
    </w:p>
  </w:footnote>
  <w:footnote w:id="32">
    <w:p w14:paraId="04CAF94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Infrastructure Concession Regulatory Commission (Establishment) Act 2005, s 1.</w:t>
      </w:r>
    </w:p>
  </w:footnote>
  <w:footnote w:id="33">
    <w:p w14:paraId="79C998A4"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World Bank Group, 'Project Finance and Guarantees: Overview' (World Bank, 2021) </w:t>
      </w:r>
      <w:hyperlink r:id="rId7" w:history="1">
        <w:r w:rsidRPr="005C4B3E">
          <w:rPr>
            <w:rStyle w:val="Hyperlink"/>
          </w:rPr>
          <w:t>https://www.worldbank.org/en/topic/publicprivatepartnerships</w:t>
        </w:r>
      </w:hyperlink>
      <w:r w:rsidRPr="005C4B3E">
        <w:rPr>
          <w:sz w:val="20"/>
          <w:szCs w:val="20"/>
        </w:rPr>
        <w:t xml:space="preserve"> accessed 10 March 2026.</w:t>
      </w:r>
    </w:p>
  </w:footnote>
  <w:footnote w:id="34">
    <w:p w14:paraId="45F1BDD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Companies and Allied Matters Act 2020, s 888.</w:t>
      </w:r>
    </w:p>
  </w:footnote>
  <w:footnote w:id="35">
    <w:p w14:paraId="660CE175" w14:textId="696BF2FD" w:rsidR="00897B51" w:rsidRPr="005C4B3E" w:rsidRDefault="00897B51" w:rsidP="00897B51">
      <w:pPr>
        <w:spacing w:after="60"/>
        <w:jc w:val="both"/>
        <w:rPr>
          <w:sz w:val="20"/>
          <w:szCs w:val="20"/>
        </w:rPr>
      </w:pPr>
      <w:r w:rsidRPr="005C4B3E">
        <w:rPr>
          <w:rStyle w:val="FootnoteReference"/>
          <w:sz w:val="20"/>
          <w:szCs w:val="20"/>
        </w:rPr>
        <w:footnoteRef/>
      </w:r>
      <w:r w:rsidR="00265F10">
        <w:rPr>
          <w:sz w:val="20"/>
          <w:szCs w:val="20"/>
        </w:rPr>
        <w:t xml:space="preserve">Chibuike U. </w:t>
      </w:r>
      <w:r w:rsidRPr="005C4B3E">
        <w:rPr>
          <w:sz w:val="20"/>
          <w:szCs w:val="20"/>
        </w:rPr>
        <w:t>Uche, 'Bank of England or Central Bank of Nigeria: The 1958-1959 Dispute Revisited' (2010) 52 African Affairs 235, 239.</w:t>
      </w:r>
    </w:p>
  </w:footnote>
  <w:footnote w:id="36">
    <w:p w14:paraId="1732251D"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Abrahamson M., 'Risk Management' (1973) 56 Law Quarterly Review 241, 243.</w:t>
      </w:r>
    </w:p>
  </w:footnote>
  <w:footnote w:id="37">
    <w:p w14:paraId="79C69AAE"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Jeffrey </w:t>
      </w:r>
      <w:proofErr w:type="spellStart"/>
      <w:r w:rsidRPr="005C4B3E">
        <w:rPr>
          <w:sz w:val="20"/>
          <w:szCs w:val="20"/>
        </w:rPr>
        <w:t>Delmon</w:t>
      </w:r>
      <w:proofErr w:type="spellEnd"/>
      <w:r w:rsidRPr="005C4B3E">
        <w:rPr>
          <w:sz w:val="20"/>
          <w:szCs w:val="20"/>
        </w:rPr>
        <w:t>, Project Finance, BOT Projects and Risk (Kluwer Law International, 2005) 27.</w:t>
      </w:r>
    </w:p>
  </w:footnote>
  <w:footnote w:id="38">
    <w:p w14:paraId="5328FA8C"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 Ibid</w:t>
      </w:r>
      <w:r w:rsidRPr="005C4B3E">
        <w:rPr>
          <w:sz w:val="20"/>
          <w:szCs w:val="20"/>
        </w:rPr>
        <w:t xml:space="preserve"> 24.</w:t>
      </w:r>
    </w:p>
  </w:footnote>
  <w:footnote w:id="39">
    <w:p w14:paraId="6620B814" w14:textId="4258324E" w:rsidR="00897B51" w:rsidRPr="005C4B3E" w:rsidRDefault="00897B51" w:rsidP="00897B51">
      <w:pPr>
        <w:spacing w:after="60"/>
        <w:jc w:val="both"/>
        <w:rPr>
          <w:sz w:val="20"/>
          <w:szCs w:val="20"/>
        </w:rPr>
      </w:pPr>
      <w:r w:rsidRPr="005C4B3E">
        <w:rPr>
          <w:rStyle w:val="FootnoteReference"/>
          <w:sz w:val="20"/>
          <w:szCs w:val="20"/>
        </w:rPr>
        <w:footnoteRef/>
      </w:r>
      <w:proofErr w:type="spellStart"/>
      <w:r w:rsidR="00265F10">
        <w:rPr>
          <w:sz w:val="20"/>
          <w:szCs w:val="20"/>
        </w:rPr>
        <w:t>Oyinkansola</w:t>
      </w:r>
      <w:proofErr w:type="spellEnd"/>
      <w:r w:rsidR="00265F10">
        <w:rPr>
          <w:sz w:val="20"/>
          <w:szCs w:val="20"/>
        </w:rPr>
        <w:t xml:space="preserve"> </w:t>
      </w:r>
      <w:r w:rsidRPr="005C4B3E">
        <w:rPr>
          <w:sz w:val="20"/>
          <w:szCs w:val="20"/>
        </w:rPr>
        <w:t xml:space="preserve">Akintola-Bello, The Nigerian Stock Exchange: Characteristics and </w:t>
      </w:r>
      <w:proofErr w:type="spellStart"/>
      <w:r w:rsidRPr="005C4B3E">
        <w:rPr>
          <w:sz w:val="20"/>
          <w:szCs w:val="20"/>
        </w:rPr>
        <w:t>Behaviour</w:t>
      </w:r>
      <w:proofErr w:type="spellEnd"/>
      <w:r w:rsidRPr="005C4B3E">
        <w:rPr>
          <w:sz w:val="20"/>
          <w:szCs w:val="20"/>
        </w:rPr>
        <w:t xml:space="preserve"> 1966-1995 (</w:t>
      </w:r>
      <w:proofErr w:type="spellStart"/>
      <w:r w:rsidRPr="005C4B3E">
        <w:rPr>
          <w:sz w:val="20"/>
          <w:szCs w:val="20"/>
        </w:rPr>
        <w:t>Recognised</w:t>
      </w:r>
      <w:proofErr w:type="spellEnd"/>
      <w:r w:rsidRPr="005C4B3E">
        <w:rPr>
          <w:sz w:val="20"/>
          <w:szCs w:val="20"/>
        </w:rPr>
        <w:t xml:space="preserve"> Investment Exchanges, 1997) 78.</w:t>
      </w:r>
    </w:p>
  </w:footnote>
  <w:footnote w:id="40">
    <w:p w14:paraId="1042D4B3"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FIDIC, Conditions of Contract for Construction (2nd </w:t>
      </w:r>
      <w:proofErr w:type="spellStart"/>
      <w:r w:rsidRPr="005C4B3E">
        <w:rPr>
          <w:sz w:val="20"/>
          <w:szCs w:val="20"/>
        </w:rPr>
        <w:t>edn</w:t>
      </w:r>
      <w:proofErr w:type="spellEnd"/>
      <w:r w:rsidRPr="005C4B3E">
        <w:rPr>
          <w:sz w:val="20"/>
          <w:szCs w:val="20"/>
        </w:rPr>
        <w:t>, International Federation of Consulting Engineers, 2017) General Conditions cl 17.</w:t>
      </w:r>
    </w:p>
  </w:footnote>
  <w:footnote w:id="41">
    <w:p w14:paraId="6EE68D0C"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Federal Ministry of Finance, Public Private Partnership Manual for Nigeria (Infrastructure Concession Regulatory Commission, 2011) 24.</w:t>
      </w:r>
    </w:p>
  </w:footnote>
  <w:footnote w:id="42">
    <w:p w14:paraId="1DBE0424"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w:t>
      </w:r>
      <w:r>
        <w:rPr>
          <w:sz w:val="20"/>
          <w:szCs w:val="20"/>
        </w:rPr>
        <w:t xml:space="preserve"> </w:t>
      </w:r>
      <w:r w:rsidRPr="005C4B3E">
        <w:rPr>
          <w:sz w:val="20"/>
          <w:szCs w:val="20"/>
        </w:rPr>
        <w:t>(</w:t>
      </w:r>
      <w:r>
        <w:rPr>
          <w:sz w:val="20"/>
          <w:szCs w:val="20"/>
        </w:rPr>
        <w:t>n 27</w:t>
      </w:r>
      <w:r w:rsidRPr="005C4B3E">
        <w:rPr>
          <w:sz w:val="20"/>
          <w:szCs w:val="20"/>
        </w:rPr>
        <w:t>) 56.</w:t>
      </w:r>
    </w:p>
  </w:footnote>
  <w:footnote w:id="43">
    <w:p w14:paraId="1DB19972"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Jeffrey </w:t>
      </w:r>
      <w:proofErr w:type="spellStart"/>
      <w:r w:rsidRPr="005C4B3E">
        <w:rPr>
          <w:sz w:val="20"/>
          <w:szCs w:val="20"/>
        </w:rPr>
        <w:t>Delmon</w:t>
      </w:r>
      <w:proofErr w:type="spellEnd"/>
      <w:r w:rsidRPr="005C4B3E">
        <w:rPr>
          <w:sz w:val="20"/>
          <w:szCs w:val="20"/>
        </w:rPr>
        <w:t>, (</w:t>
      </w:r>
      <w:r>
        <w:rPr>
          <w:sz w:val="20"/>
          <w:szCs w:val="20"/>
        </w:rPr>
        <w:t>n 37</w:t>
      </w:r>
      <w:r w:rsidRPr="005C4B3E">
        <w:rPr>
          <w:sz w:val="20"/>
          <w:szCs w:val="20"/>
        </w:rPr>
        <w:t>) 47.</w:t>
      </w:r>
    </w:p>
  </w:footnote>
  <w:footnote w:id="44">
    <w:p w14:paraId="41585F04"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Geoffrey D. </w:t>
      </w:r>
      <w:proofErr w:type="spellStart"/>
      <w:r w:rsidRPr="005C4B3E">
        <w:rPr>
          <w:sz w:val="20"/>
          <w:szCs w:val="20"/>
        </w:rPr>
        <w:t>Vinter</w:t>
      </w:r>
      <w:proofErr w:type="spellEnd"/>
      <w:r w:rsidRPr="005C4B3E">
        <w:rPr>
          <w:sz w:val="20"/>
          <w:szCs w:val="20"/>
        </w:rPr>
        <w:t xml:space="preserve"> and </w:t>
      </w:r>
      <w:r>
        <w:rPr>
          <w:sz w:val="20"/>
          <w:szCs w:val="20"/>
        </w:rPr>
        <w:t xml:space="preserve">Gareth </w:t>
      </w:r>
      <w:r w:rsidRPr="005C4B3E">
        <w:rPr>
          <w:sz w:val="20"/>
          <w:szCs w:val="20"/>
        </w:rPr>
        <w:t>Price, (</w:t>
      </w:r>
      <w:r>
        <w:rPr>
          <w:sz w:val="20"/>
          <w:szCs w:val="20"/>
        </w:rPr>
        <w:t>n 28</w:t>
      </w:r>
      <w:r w:rsidRPr="005C4B3E">
        <w:rPr>
          <w:sz w:val="20"/>
          <w:szCs w:val="20"/>
        </w:rPr>
        <w:t>) 28.</w:t>
      </w:r>
    </w:p>
  </w:footnote>
  <w:footnote w:id="45">
    <w:p w14:paraId="7641E38F"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Peter K. </w:t>
      </w:r>
      <w:r w:rsidRPr="005C4B3E">
        <w:rPr>
          <w:sz w:val="20"/>
          <w:szCs w:val="20"/>
        </w:rPr>
        <w:t xml:space="preserve">Nevitt and </w:t>
      </w:r>
      <w:r>
        <w:rPr>
          <w:sz w:val="20"/>
          <w:szCs w:val="20"/>
        </w:rPr>
        <w:t xml:space="preserve">Frank J. </w:t>
      </w:r>
      <w:proofErr w:type="spellStart"/>
      <w:r w:rsidRPr="005C4B3E">
        <w:rPr>
          <w:sz w:val="20"/>
          <w:szCs w:val="20"/>
        </w:rPr>
        <w:t>Fabozzi</w:t>
      </w:r>
      <w:proofErr w:type="spellEnd"/>
      <w:r w:rsidRPr="005C4B3E">
        <w:rPr>
          <w:sz w:val="20"/>
          <w:szCs w:val="20"/>
        </w:rPr>
        <w:t>, (</w:t>
      </w:r>
      <w:r>
        <w:rPr>
          <w:sz w:val="20"/>
          <w:szCs w:val="20"/>
        </w:rPr>
        <w:t>n 24</w:t>
      </w:r>
      <w:r w:rsidRPr="005C4B3E">
        <w:rPr>
          <w:sz w:val="20"/>
          <w:szCs w:val="20"/>
        </w:rPr>
        <w:t>) 42.</w:t>
      </w:r>
    </w:p>
  </w:footnote>
  <w:footnote w:id="46">
    <w:p w14:paraId="58C3CD40"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A.G. </w:t>
      </w:r>
      <w:r w:rsidRPr="005C4B3E">
        <w:rPr>
          <w:sz w:val="20"/>
          <w:szCs w:val="20"/>
        </w:rPr>
        <w:t xml:space="preserve">Monks and </w:t>
      </w:r>
      <w:r>
        <w:rPr>
          <w:sz w:val="20"/>
          <w:szCs w:val="20"/>
        </w:rPr>
        <w:t xml:space="preserve">Nell </w:t>
      </w:r>
      <w:proofErr w:type="spellStart"/>
      <w:r w:rsidRPr="005C4B3E">
        <w:rPr>
          <w:sz w:val="20"/>
          <w:szCs w:val="20"/>
        </w:rPr>
        <w:t>Minow</w:t>
      </w:r>
      <w:proofErr w:type="spellEnd"/>
      <w:r w:rsidRPr="005C4B3E">
        <w:rPr>
          <w:sz w:val="20"/>
          <w:szCs w:val="20"/>
        </w:rPr>
        <w:t>, (</w:t>
      </w:r>
      <w:r>
        <w:rPr>
          <w:sz w:val="20"/>
          <w:szCs w:val="20"/>
        </w:rPr>
        <w:t>n 15</w:t>
      </w:r>
      <w:r w:rsidRPr="005C4B3E">
        <w:rPr>
          <w:sz w:val="20"/>
          <w:szCs w:val="20"/>
        </w:rPr>
        <w:t>) 215.</w:t>
      </w:r>
    </w:p>
  </w:footnote>
  <w:footnote w:id="47">
    <w:p w14:paraId="6AA5E418" w14:textId="77777777" w:rsidR="00897B51" w:rsidRPr="005C4B3E" w:rsidRDefault="00897B51" w:rsidP="00897B51">
      <w:pPr>
        <w:spacing w:after="60"/>
        <w:jc w:val="both"/>
        <w:rPr>
          <w:sz w:val="20"/>
          <w:szCs w:val="20"/>
        </w:rPr>
      </w:pPr>
      <w:r w:rsidRPr="005C4B3E">
        <w:rPr>
          <w:rStyle w:val="FootnoteReference"/>
          <w:sz w:val="20"/>
          <w:szCs w:val="20"/>
        </w:rPr>
        <w:footnoteRef/>
      </w:r>
      <w:proofErr w:type="spellStart"/>
      <w:r>
        <w:rPr>
          <w:sz w:val="20"/>
          <w:szCs w:val="20"/>
        </w:rPr>
        <w:t>Babtunde</w:t>
      </w:r>
      <w:proofErr w:type="spellEnd"/>
      <w:r>
        <w:rPr>
          <w:sz w:val="20"/>
          <w:szCs w:val="20"/>
        </w:rPr>
        <w:t xml:space="preserve"> </w:t>
      </w:r>
      <w:r w:rsidRPr="005C4B3E">
        <w:rPr>
          <w:sz w:val="20"/>
          <w:szCs w:val="20"/>
        </w:rPr>
        <w:t>Afolabi, “Improving Bankability of Infrastructure Projects in Nigeria through Governance Reforms” (2017) 4 Journal of African Law 211, 214.</w:t>
      </w:r>
    </w:p>
  </w:footnote>
  <w:footnote w:id="48">
    <w:p w14:paraId="792C505F" w14:textId="77777777" w:rsidR="00897B51" w:rsidRPr="005C4B3E" w:rsidRDefault="00897B51" w:rsidP="00897B51">
      <w:pPr>
        <w:spacing w:after="60"/>
        <w:jc w:val="both"/>
        <w:rPr>
          <w:sz w:val="20"/>
          <w:szCs w:val="20"/>
        </w:rPr>
      </w:pPr>
      <w:r w:rsidRPr="005C4B3E">
        <w:rPr>
          <w:rStyle w:val="FootnoteReference"/>
          <w:sz w:val="20"/>
          <w:szCs w:val="20"/>
        </w:rPr>
        <w:footnoteRef/>
      </w:r>
      <w:proofErr w:type="spellStart"/>
      <w:r w:rsidRPr="005C4B3E">
        <w:rPr>
          <w:sz w:val="20"/>
          <w:szCs w:val="20"/>
        </w:rPr>
        <w:t>Delmon</w:t>
      </w:r>
      <w:proofErr w:type="spellEnd"/>
      <w:r w:rsidRPr="005C4B3E">
        <w:rPr>
          <w:sz w:val="20"/>
          <w:szCs w:val="20"/>
        </w:rPr>
        <w:t xml:space="preserve"> J., Private Sector Investment in Infrastructure: Project Finance, PPP Projects and Risk (2nd </w:t>
      </w:r>
      <w:proofErr w:type="spellStart"/>
      <w:r w:rsidRPr="005C4B3E">
        <w:rPr>
          <w:sz w:val="20"/>
          <w:szCs w:val="20"/>
        </w:rPr>
        <w:t>edn</w:t>
      </w:r>
      <w:proofErr w:type="spellEnd"/>
      <w:r w:rsidRPr="005C4B3E">
        <w:rPr>
          <w:sz w:val="20"/>
          <w:szCs w:val="20"/>
        </w:rPr>
        <w:t>, Kluwer Law International, 2009) 81.</w:t>
      </w:r>
    </w:p>
  </w:footnote>
  <w:footnote w:id="49">
    <w:p w14:paraId="34143CAE"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w:t>
      </w:r>
      <w:r>
        <w:rPr>
          <w:sz w:val="20"/>
          <w:szCs w:val="20"/>
        </w:rPr>
        <w:t xml:space="preserve"> </w:t>
      </w:r>
      <w:r w:rsidRPr="005C4B3E">
        <w:rPr>
          <w:sz w:val="20"/>
          <w:szCs w:val="20"/>
        </w:rPr>
        <w:t>(</w:t>
      </w:r>
      <w:r>
        <w:rPr>
          <w:sz w:val="20"/>
          <w:szCs w:val="20"/>
        </w:rPr>
        <w:t>n 27</w:t>
      </w:r>
      <w:r w:rsidRPr="005C4B3E">
        <w:rPr>
          <w:sz w:val="20"/>
          <w:szCs w:val="20"/>
        </w:rPr>
        <w:t>) 62.</w:t>
      </w:r>
    </w:p>
  </w:footnote>
  <w:footnote w:id="50">
    <w:p w14:paraId="0768B5E8"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Joseph </w:t>
      </w:r>
      <w:proofErr w:type="spellStart"/>
      <w:r w:rsidRPr="005C4B3E">
        <w:rPr>
          <w:sz w:val="20"/>
          <w:szCs w:val="20"/>
        </w:rPr>
        <w:t>Abugu</w:t>
      </w:r>
      <w:proofErr w:type="spellEnd"/>
      <w:r w:rsidRPr="005C4B3E">
        <w:rPr>
          <w:sz w:val="20"/>
          <w:szCs w:val="20"/>
        </w:rPr>
        <w:t>, Corporate Governance Law in Nigeria (Malthouse Press, 2014) 198.</w:t>
      </w:r>
    </w:p>
  </w:footnote>
  <w:footnote w:id="51">
    <w:p w14:paraId="57173ED3"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NCCG </w:t>
      </w:r>
      <w:r w:rsidRPr="005C4B3E">
        <w:rPr>
          <w:sz w:val="20"/>
          <w:szCs w:val="20"/>
        </w:rPr>
        <w:t>2018</w:t>
      </w:r>
      <w:r>
        <w:rPr>
          <w:sz w:val="20"/>
          <w:szCs w:val="20"/>
        </w:rPr>
        <w:t>,</w:t>
      </w:r>
      <w:r w:rsidRPr="005C4B3E">
        <w:rPr>
          <w:sz w:val="20"/>
          <w:szCs w:val="20"/>
        </w:rPr>
        <w:t xml:space="preserve"> Principle 28.</w:t>
      </w:r>
    </w:p>
  </w:footnote>
  <w:footnote w:id="52">
    <w:p w14:paraId="31D211AD" w14:textId="13A34B48" w:rsidR="00897B51" w:rsidRPr="005C4B3E" w:rsidRDefault="00897B51" w:rsidP="00897B51">
      <w:pPr>
        <w:spacing w:after="60"/>
        <w:jc w:val="both"/>
        <w:rPr>
          <w:sz w:val="20"/>
          <w:szCs w:val="20"/>
        </w:rPr>
      </w:pPr>
      <w:r w:rsidRPr="005C4B3E">
        <w:rPr>
          <w:rStyle w:val="FootnoteReference"/>
          <w:sz w:val="20"/>
          <w:szCs w:val="20"/>
        </w:rPr>
        <w:footnoteRef/>
      </w:r>
      <w:r w:rsidR="00AB7F86">
        <w:rPr>
          <w:sz w:val="20"/>
          <w:szCs w:val="20"/>
        </w:rPr>
        <w:t xml:space="preserve">Christine </w:t>
      </w:r>
      <w:r w:rsidRPr="005C4B3E">
        <w:rPr>
          <w:sz w:val="20"/>
          <w:szCs w:val="20"/>
        </w:rPr>
        <w:t xml:space="preserve">Parker and </w:t>
      </w:r>
      <w:proofErr w:type="spellStart"/>
      <w:r w:rsidR="00AB7F86">
        <w:rPr>
          <w:sz w:val="20"/>
          <w:szCs w:val="20"/>
        </w:rPr>
        <w:t>Vibeke</w:t>
      </w:r>
      <w:proofErr w:type="spellEnd"/>
      <w:r w:rsidR="00AB7F86">
        <w:rPr>
          <w:sz w:val="20"/>
          <w:szCs w:val="20"/>
        </w:rPr>
        <w:t xml:space="preserve"> Lehmann </w:t>
      </w:r>
      <w:r w:rsidRPr="005C4B3E">
        <w:rPr>
          <w:sz w:val="20"/>
          <w:szCs w:val="20"/>
        </w:rPr>
        <w:t>Nielsen, ‘Compliance: 7 Views’ in Parker C. and Nielsen V.L. (eds), Explaining Compliance: Business Regulation and Beyond (Edward Elgar, 2011) 1, 3.</w:t>
      </w:r>
    </w:p>
  </w:footnote>
  <w:footnote w:id="53">
    <w:p w14:paraId="62FCD856" w14:textId="09BD7BE1" w:rsidR="00897B51" w:rsidRPr="005C4B3E" w:rsidRDefault="00897B51" w:rsidP="00897B51">
      <w:pPr>
        <w:spacing w:after="60"/>
        <w:jc w:val="both"/>
        <w:rPr>
          <w:sz w:val="20"/>
          <w:szCs w:val="20"/>
        </w:rPr>
      </w:pPr>
      <w:r w:rsidRPr="005C4B3E">
        <w:rPr>
          <w:rStyle w:val="FootnoteReference"/>
          <w:sz w:val="20"/>
          <w:szCs w:val="20"/>
        </w:rPr>
        <w:footnoteRef/>
      </w:r>
      <w:r w:rsidR="00AB7F86">
        <w:rPr>
          <w:sz w:val="20"/>
          <w:szCs w:val="20"/>
        </w:rPr>
        <w:t xml:space="preserve">Ian </w:t>
      </w:r>
      <w:r w:rsidRPr="005C4B3E">
        <w:rPr>
          <w:sz w:val="20"/>
          <w:szCs w:val="20"/>
        </w:rPr>
        <w:t xml:space="preserve">Ayres and </w:t>
      </w:r>
      <w:r w:rsidR="00AB7F86">
        <w:rPr>
          <w:sz w:val="20"/>
          <w:szCs w:val="20"/>
        </w:rPr>
        <w:t xml:space="preserve">John </w:t>
      </w:r>
      <w:r w:rsidRPr="005C4B3E">
        <w:rPr>
          <w:sz w:val="20"/>
          <w:szCs w:val="20"/>
        </w:rPr>
        <w:t>Braithwaite, Responsive Regulation: Transcending the Deregulation Debate (Oxford University Press, 1992) 4.</w:t>
      </w:r>
    </w:p>
  </w:footnote>
  <w:footnote w:id="54">
    <w:p w14:paraId="190447D1"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Geoffrey D. </w:t>
      </w:r>
      <w:proofErr w:type="spellStart"/>
      <w:r w:rsidRPr="005C4B3E">
        <w:rPr>
          <w:sz w:val="20"/>
          <w:szCs w:val="20"/>
        </w:rPr>
        <w:t>Vinter</w:t>
      </w:r>
      <w:proofErr w:type="spellEnd"/>
      <w:r w:rsidRPr="005C4B3E">
        <w:rPr>
          <w:sz w:val="20"/>
          <w:szCs w:val="20"/>
        </w:rPr>
        <w:t xml:space="preserve"> and </w:t>
      </w:r>
      <w:r>
        <w:rPr>
          <w:sz w:val="20"/>
          <w:szCs w:val="20"/>
        </w:rPr>
        <w:t xml:space="preserve">Gareth </w:t>
      </w:r>
      <w:r w:rsidRPr="005C4B3E">
        <w:rPr>
          <w:sz w:val="20"/>
          <w:szCs w:val="20"/>
        </w:rPr>
        <w:t>Price, (</w:t>
      </w:r>
      <w:r>
        <w:rPr>
          <w:sz w:val="20"/>
          <w:szCs w:val="20"/>
        </w:rPr>
        <w:t>n 28</w:t>
      </w:r>
      <w:r w:rsidRPr="005C4B3E">
        <w:rPr>
          <w:sz w:val="20"/>
          <w:szCs w:val="20"/>
        </w:rPr>
        <w:t>) 48.</w:t>
      </w:r>
    </w:p>
  </w:footnote>
  <w:footnote w:id="55">
    <w:p w14:paraId="5443D7F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Equator Principles Association, The Equator Principles (4th </w:t>
      </w:r>
      <w:proofErr w:type="spellStart"/>
      <w:r w:rsidRPr="005C4B3E">
        <w:rPr>
          <w:sz w:val="20"/>
          <w:szCs w:val="20"/>
        </w:rPr>
        <w:t>edn</w:t>
      </w:r>
      <w:proofErr w:type="spellEnd"/>
      <w:r w:rsidRPr="005C4B3E">
        <w:rPr>
          <w:sz w:val="20"/>
          <w:szCs w:val="20"/>
        </w:rPr>
        <w:t>, EPA, 2020) Principle 10.</w:t>
      </w:r>
    </w:p>
  </w:footnote>
  <w:footnote w:id="56">
    <w:p w14:paraId="49C1240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Joseph </w:t>
      </w:r>
      <w:proofErr w:type="spellStart"/>
      <w:r w:rsidRPr="005C4B3E">
        <w:rPr>
          <w:sz w:val="20"/>
          <w:szCs w:val="20"/>
        </w:rPr>
        <w:t>Abugu</w:t>
      </w:r>
      <w:proofErr w:type="spellEnd"/>
      <w:r w:rsidRPr="005C4B3E">
        <w:rPr>
          <w:sz w:val="20"/>
          <w:szCs w:val="20"/>
        </w:rPr>
        <w:t xml:space="preserve">, </w:t>
      </w:r>
      <w:r>
        <w:rPr>
          <w:sz w:val="20"/>
          <w:szCs w:val="20"/>
        </w:rPr>
        <w:t>(n 50)</w:t>
      </w:r>
      <w:r w:rsidRPr="005C4B3E">
        <w:rPr>
          <w:sz w:val="20"/>
          <w:szCs w:val="20"/>
        </w:rPr>
        <w:t xml:space="preserve"> 201.</w:t>
      </w:r>
    </w:p>
  </w:footnote>
  <w:footnote w:id="57">
    <w:p w14:paraId="118FFFB4"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Edward R. </w:t>
      </w:r>
      <w:proofErr w:type="spellStart"/>
      <w:r w:rsidRPr="005C4B3E">
        <w:rPr>
          <w:sz w:val="20"/>
          <w:szCs w:val="20"/>
        </w:rPr>
        <w:t>Yescombe</w:t>
      </w:r>
      <w:proofErr w:type="spellEnd"/>
      <w:r w:rsidRPr="005C4B3E">
        <w:rPr>
          <w:sz w:val="20"/>
          <w:szCs w:val="20"/>
        </w:rPr>
        <w:t>, (</w:t>
      </w:r>
      <w:r>
        <w:rPr>
          <w:sz w:val="20"/>
          <w:szCs w:val="20"/>
        </w:rPr>
        <w:t>n 26</w:t>
      </w:r>
      <w:r w:rsidRPr="005C4B3E">
        <w:rPr>
          <w:sz w:val="20"/>
          <w:szCs w:val="20"/>
        </w:rPr>
        <w:t>) 37.</w:t>
      </w:r>
    </w:p>
  </w:footnote>
  <w:footnote w:id="58">
    <w:p w14:paraId="5C516A1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w:t>
      </w:r>
      <w:r>
        <w:rPr>
          <w:sz w:val="20"/>
          <w:szCs w:val="20"/>
        </w:rPr>
        <w:t xml:space="preserve"> </w:t>
      </w:r>
      <w:r w:rsidRPr="005C4B3E">
        <w:rPr>
          <w:sz w:val="20"/>
          <w:szCs w:val="20"/>
        </w:rPr>
        <w:t>(</w:t>
      </w:r>
      <w:r>
        <w:rPr>
          <w:sz w:val="20"/>
          <w:szCs w:val="20"/>
        </w:rPr>
        <w:t>n 27</w:t>
      </w:r>
      <w:r w:rsidRPr="005C4B3E">
        <w:rPr>
          <w:sz w:val="20"/>
          <w:szCs w:val="20"/>
        </w:rPr>
        <w:t>) 8.</w:t>
      </w:r>
    </w:p>
  </w:footnote>
  <w:footnote w:id="59">
    <w:p w14:paraId="3A5FDC0F"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Scott L. </w:t>
      </w:r>
      <w:r w:rsidRPr="005C4B3E">
        <w:rPr>
          <w:sz w:val="20"/>
          <w:szCs w:val="20"/>
        </w:rPr>
        <w:t xml:space="preserve">Hoffman, </w:t>
      </w:r>
      <w:r>
        <w:rPr>
          <w:sz w:val="20"/>
          <w:szCs w:val="20"/>
        </w:rPr>
        <w:t>(n 25)</w:t>
      </w:r>
      <w:r w:rsidRPr="005C4B3E">
        <w:rPr>
          <w:sz w:val="20"/>
          <w:szCs w:val="20"/>
        </w:rPr>
        <w:t xml:space="preserve"> 15.</w:t>
      </w:r>
    </w:p>
  </w:footnote>
  <w:footnote w:id="60">
    <w:p w14:paraId="0A89EDE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A.G. </w:t>
      </w:r>
      <w:r w:rsidRPr="005C4B3E">
        <w:rPr>
          <w:sz w:val="20"/>
          <w:szCs w:val="20"/>
        </w:rPr>
        <w:t xml:space="preserve">Monks and </w:t>
      </w:r>
      <w:r>
        <w:rPr>
          <w:sz w:val="20"/>
          <w:szCs w:val="20"/>
        </w:rPr>
        <w:t xml:space="preserve">Nell </w:t>
      </w:r>
      <w:proofErr w:type="spellStart"/>
      <w:r w:rsidRPr="005C4B3E">
        <w:rPr>
          <w:sz w:val="20"/>
          <w:szCs w:val="20"/>
        </w:rPr>
        <w:t>Minow</w:t>
      </w:r>
      <w:proofErr w:type="spellEnd"/>
      <w:r w:rsidRPr="005C4B3E">
        <w:rPr>
          <w:sz w:val="20"/>
          <w:szCs w:val="20"/>
        </w:rPr>
        <w:t>, (</w:t>
      </w:r>
      <w:r>
        <w:rPr>
          <w:sz w:val="20"/>
          <w:szCs w:val="20"/>
        </w:rPr>
        <w:t>n 15</w:t>
      </w:r>
      <w:r w:rsidRPr="005C4B3E">
        <w:rPr>
          <w:sz w:val="20"/>
          <w:szCs w:val="20"/>
        </w:rPr>
        <w:t>) 220.</w:t>
      </w:r>
    </w:p>
  </w:footnote>
  <w:footnote w:id="61">
    <w:p w14:paraId="6878E1E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Jill </w:t>
      </w:r>
      <w:r w:rsidRPr="005C4B3E">
        <w:rPr>
          <w:sz w:val="20"/>
          <w:szCs w:val="20"/>
        </w:rPr>
        <w:t xml:space="preserve">Solomon, Corporate Governance and Accountability (4th </w:t>
      </w:r>
      <w:proofErr w:type="spellStart"/>
      <w:r w:rsidRPr="005C4B3E">
        <w:rPr>
          <w:sz w:val="20"/>
          <w:szCs w:val="20"/>
        </w:rPr>
        <w:t>edn</w:t>
      </w:r>
      <w:proofErr w:type="spellEnd"/>
      <w:r w:rsidRPr="005C4B3E">
        <w:rPr>
          <w:sz w:val="20"/>
          <w:szCs w:val="20"/>
        </w:rPr>
        <w:t>, John Wiley &amp; Sons, 2013) 12.</w:t>
      </w:r>
    </w:p>
  </w:footnote>
  <w:footnote w:id="62">
    <w:p w14:paraId="007F4818"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Ibid</w:t>
      </w:r>
      <w:r w:rsidRPr="005C4B3E">
        <w:rPr>
          <w:sz w:val="20"/>
          <w:szCs w:val="20"/>
        </w:rPr>
        <w:t xml:space="preserve"> 14.</w:t>
      </w:r>
    </w:p>
  </w:footnote>
  <w:footnote w:id="63">
    <w:p w14:paraId="2DFD66C9"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International Monetary Fund, Fiscal Transparency Code (IMF, 2019) Pillar 1.</w:t>
      </w:r>
    </w:p>
  </w:footnote>
  <w:footnote w:id="64">
    <w:p w14:paraId="6D5CEAFC"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F</w:t>
      </w:r>
      <w:r>
        <w:rPr>
          <w:sz w:val="20"/>
          <w:szCs w:val="20"/>
        </w:rPr>
        <w:t>RCN</w:t>
      </w:r>
      <w:r w:rsidRPr="005C4B3E">
        <w:rPr>
          <w:sz w:val="20"/>
          <w:szCs w:val="20"/>
        </w:rPr>
        <w:t xml:space="preserve"> Act 2011, s 1.</w:t>
      </w:r>
    </w:p>
  </w:footnote>
  <w:footnote w:id="65">
    <w:p w14:paraId="20AFB335"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NCCG</w:t>
      </w:r>
      <w:r w:rsidRPr="005C4B3E">
        <w:rPr>
          <w:sz w:val="20"/>
          <w:szCs w:val="20"/>
        </w:rPr>
        <w:t xml:space="preserve"> 2018 Principle 14.</w:t>
      </w:r>
    </w:p>
  </w:footnote>
  <w:footnote w:id="66">
    <w:p w14:paraId="0F7AB879"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 Edward </w:t>
      </w:r>
      <w:r w:rsidRPr="005C4B3E">
        <w:rPr>
          <w:sz w:val="20"/>
          <w:szCs w:val="20"/>
        </w:rPr>
        <w:t>Freeman, Strategic Management: A Stakeholder Approach (Pitman Publishing, 1984) 46.</w:t>
      </w:r>
    </w:p>
  </w:footnote>
  <w:footnote w:id="67">
    <w:p w14:paraId="7203A09E"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Ronald K. </w:t>
      </w:r>
      <w:r w:rsidRPr="005C4B3E">
        <w:rPr>
          <w:sz w:val="20"/>
          <w:szCs w:val="20"/>
        </w:rPr>
        <w:t xml:space="preserve">Mitchell, </w:t>
      </w:r>
      <w:proofErr w:type="spellStart"/>
      <w:r>
        <w:rPr>
          <w:sz w:val="20"/>
          <w:szCs w:val="20"/>
        </w:rPr>
        <w:t>Bardley</w:t>
      </w:r>
      <w:proofErr w:type="spellEnd"/>
      <w:r>
        <w:rPr>
          <w:sz w:val="20"/>
          <w:szCs w:val="20"/>
        </w:rPr>
        <w:t xml:space="preserve"> R. </w:t>
      </w:r>
      <w:proofErr w:type="spellStart"/>
      <w:r w:rsidRPr="005C4B3E">
        <w:rPr>
          <w:sz w:val="20"/>
          <w:szCs w:val="20"/>
        </w:rPr>
        <w:t>Agle</w:t>
      </w:r>
      <w:proofErr w:type="spellEnd"/>
      <w:r w:rsidRPr="005C4B3E">
        <w:rPr>
          <w:sz w:val="20"/>
          <w:szCs w:val="20"/>
        </w:rPr>
        <w:t xml:space="preserve"> and </w:t>
      </w:r>
      <w:r>
        <w:rPr>
          <w:sz w:val="20"/>
          <w:szCs w:val="20"/>
        </w:rPr>
        <w:t xml:space="preserve">Donna J. </w:t>
      </w:r>
      <w:r w:rsidRPr="005C4B3E">
        <w:rPr>
          <w:sz w:val="20"/>
          <w:szCs w:val="20"/>
        </w:rPr>
        <w:t>Wood, "Toward a Theory of Stakeholder Identification and Salience: Defining the Principle of Who and What Really Counts" (1997) 22 Academy of Management Review 853, 856.</w:t>
      </w:r>
    </w:p>
  </w:footnote>
  <w:footnote w:id="68">
    <w:p w14:paraId="1035C31D" w14:textId="77777777" w:rsidR="00897B51" w:rsidRDefault="00897B51" w:rsidP="00897B51">
      <w:pPr>
        <w:pStyle w:val="FootnoteText"/>
      </w:pPr>
      <w:r>
        <w:rPr>
          <w:rStyle w:val="FootnoteReference"/>
        </w:rPr>
        <w:footnoteRef/>
      </w:r>
      <w:r>
        <w:t xml:space="preserve"> Ibid</w:t>
      </w:r>
    </w:p>
  </w:footnote>
  <w:footnote w:id="69">
    <w:p w14:paraId="798AF0CB"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Jeffrey </w:t>
      </w:r>
      <w:proofErr w:type="spellStart"/>
      <w:r w:rsidRPr="005C4B3E">
        <w:rPr>
          <w:sz w:val="20"/>
          <w:szCs w:val="20"/>
        </w:rPr>
        <w:t>Delmon</w:t>
      </w:r>
      <w:proofErr w:type="spellEnd"/>
      <w:r w:rsidRPr="005C4B3E">
        <w:rPr>
          <w:sz w:val="20"/>
          <w:szCs w:val="20"/>
        </w:rPr>
        <w:t xml:space="preserve">, </w:t>
      </w:r>
      <w:r>
        <w:rPr>
          <w:sz w:val="20"/>
          <w:szCs w:val="20"/>
        </w:rPr>
        <w:t>(n 48)</w:t>
      </w:r>
      <w:r w:rsidRPr="005C4B3E">
        <w:rPr>
          <w:sz w:val="20"/>
          <w:szCs w:val="20"/>
        </w:rPr>
        <w:t xml:space="preserve"> 24.</w:t>
      </w:r>
    </w:p>
  </w:footnote>
  <w:footnote w:id="70">
    <w:p w14:paraId="6244A3F7" w14:textId="77777777" w:rsidR="00897B51" w:rsidRDefault="00897B51" w:rsidP="00897B51">
      <w:pPr>
        <w:pStyle w:val="FootnoteText"/>
      </w:pPr>
      <w:r>
        <w:rPr>
          <w:rStyle w:val="FootnoteReference"/>
        </w:rPr>
        <w:footnoteRef/>
      </w:r>
      <w:r>
        <w:t xml:space="preserve"> Ibid</w:t>
      </w:r>
    </w:p>
  </w:footnote>
  <w:footnote w:id="71">
    <w:p w14:paraId="7E531D4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P</w:t>
      </w:r>
      <w:r>
        <w:rPr>
          <w:sz w:val="20"/>
          <w:szCs w:val="20"/>
        </w:rPr>
        <w:t>IA</w:t>
      </w:r>
      <w:r w:rsidRPr="005C4B3E">
        <w:rPr>
          <w:sz w:val="20"/>
          <w:szCs w:val="20"/>
        </w:rPr>
        <w:t xml:space="preserve"> 2021, ss 234-259.</w:t>
      </w:r>
    </w:p>
  </w:footnote>
  <w:footnote w:id="72">
    <w:p w14:paraId="559667B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Equator Principles Association, The Equator Principles (4th </w:t>
      </w:r>
      <w:proofErr w:type="spellStart"/>
      <w:r w:rsidRPr="005C4B3E">
        <w:rPr>
          <w:sz w:val="20"/>
          <w:szCs w:val="20"/>
        </w:rPr>
        <w:t>edn</w:t>
      </w:r>
      <w:proofErr w:type="spellEnd"/>
      <w:r w:rsidRPr="005C4B3E">
        <w:rPr>
          <w:sz w:val="20"/>
          <w:szCs w:val="20"/>
        </w:rPr>
        <w:t>, EPA, 2020) Principle 5.</w:t>
      </w:r>
    </w:p>
  </w:footnote>
  <w:footnote w:id="73">
    <w:p w14:paraId="061578F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NCCG</w:t>
      </w:r>
      <w:r w:rsidRPr="005C4B3E">
        <w:rPr>
          <w:sz w:val="20"/>
          <w:szCs w:val="20"/>
        </w:rPr>
        <w:t>, 2018</w:t>
      </w:r>
      <w:r>
        <w:rPr>
          <w:sz w:val="20"/>
          <w:szCs w:val="20"/>
        </w:rPr>
        <w:t>,</w:t>
      </w:r>
      <w:r w:rsidRPr="005C4B3E">
        <w:rPr>
          <w:sz w:val="20"/>
          <w:szCs w:val="20"/>
        </w:rPr>
        <w:t xml:space="preserve"> Principle 26.</w:t>
      </w:r>
    </w:p>
  </w:footnote>
  <w:footnote w:id="74">
    <w:p w14:paraId="00CEC9B8"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Babatunde </w:t>
      </w:r>
      <w:r w:rsidRPr="005C4B3E">
        <w:rPr>
          <w:sz w:val="20"/>
          <w:szCs w:val="20"/>
        </w:rPr>
        <w:t xml:space="preserve">Afolabi, </w:t>
      </w:r>
      <w:r>
        <w:rPr>
          <w:sz w:val="20"/>
          <w:szCs w:val="20"/>
        </w:rPr>
        <w:t>(n 47)</w:t>
      </w:r>
      <w:r w:rsidRPr="005C4B3E">
        <w:rPr>
          <w:sz w:val="20"/>
          <w:szCs w:val="20"/>
        </w:rPr>
        <w:t xml:space="preserve"> 217.</w:t>
      </w:r>
    </w:p>
  </w:footnote>
  <w:footnote w:id="75">
    <w:p w14:paraId="181D427B" w14:textId="77777777" w:rsidR="00897B51" w:rsidRDefault="00897B51" w:rsidP="00897B51">
      <w:pPr>
        <w:pStyle w:val="FootnoteText"/>
      </w:pPr>
      <w:r>
        <w:rPr>
          <w:rStyle w:val="FootnoteReference"/>
        </w:rPr>
        <w:footnoteRef/>
      </w:r>
      <w:r>
        <w:t xml:space="preserve"> Ibid</w:t>
      </w:r>
    </w:p>
  </w:footnote>
  <w:footnote w:id="76">
    <w:p w14:paraId="358C29B9"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International Finance Corporation, Environmental and Social Performance Standards (IFC, 2012) Performance Standard 1, para 7.</w:t>
      </w:r>
    </w:p>
  </w:footnote>
  <w:footnote w:id="77">
    <w:p w14:paraId="5D2976A9"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w:t>
      </w:r>
      <w:r>
        <w:rPr>
          <w:sz w:val="20"/>
          <w:szCs w:val="20"/>
        </w:rPr>
        <w:t>CRC</w:t>
      </w:r>
      <w:r w:rsidRPr="005C4B3E">
        <w:rPr>
          <w:sz w:val="20"/>
          <w:szCs w:val="20"/>
        </w:rPr>
        <w:t xml:space="preserve"> (Establishment) Act 2005, s 18.</w:t>
      </w:r>
    </w:p>
  </w:footnote>
  <w:footnote w:id="78">
    <w:p w14:paraId="1ABA087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Oliver E. </w:t>
      </w:r>
      <w:r w:rsidRPr="005C4B3E">
        <w:rPr>
          <w:sz w:val="20"/>
          <w:szCs w:val="20"/>
        </w:rPr>
        <w:t>Williamson, The Economic Institutions of Capitalism: Firms, Markets, Relational Contracting (Free Press, 1985) 1.</w:t>
      </w:r>
    </w:p>
  </w:footnote>
  <w:footnote w:id="79">
    <w:p w14:paraId="6DE37340" w14:textId="77777777" w:rsidR="00897B51" w:rsidRDefault="00897B51" w:rsidP="00897B51">
      <w:pPr>
        <w:pStyle w:val="FootnoteText"/>
      </w:pPr>
      <w:r>
        <w:rPr>
          <w:rStyle w:val="FootnoteReference"/>
        </w:rPr>
        <w:footnoteRef/>
      </w:r>
      <w:r>
        <w:t xml:space="preserve"> Ibid</w:t>
      </w:r>
    </w:p>
  </w:footnote>
  <w:footnote w:id="80">
    <w:p w14:paraId="49C95D07"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Coase R.H., "The Nature of the Firm" (1937) 4 </w:t>
      </w:r>
      <w:proofErr w:type="spellStart"/>
      <w:r w:rsidRPr="005C4B3E">
        <w:rPr>
          <w:sz w:val="20"/>
          <w:szCs w:val="20"/>
        </w:rPr>
        <w:t>Economica</w:t>
      </w:r>
      <w:proofErr w:type="spellEnd"/>
      <w:r w:rsidRPr="005C4B3E">
        <w:rPr>
          <w:sz w:val="20"/>
          <w:szCs w:val="20"/>
        </w:rPr>
        <w:t xml:space="preserve"> 386, 390.</w:t>
      </w:r>
    </w:p>
  </w:footnote>
  <w:footnote w:id="81">
    <w:p w14:paraId="4D02BC45" w14:textId="77777777" w:rsidR="00897B51" w:rsidRDefault="00897B51" w:rsidP="00897B51">
      <w:pPr>
        <w:pStyle w:val="FootnoteText"/>
      </w:pPr>
      <w:r>
        <w:rPr>
          <w:rStyle w:val="FootnoteReference"/>
        </w:rPr>
        <w:footnoteRef/>
      </w:r>
      <w:r>
        <w:t xml:space="preserve"> Ibid</w:t>
      </w:r>
    </w:p>
  </w:footnote>
  <w:footnote w:id="82">
    <w:p w14:paraId="7CFD7E0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Oliver E. </w:t>
      </w:r>
      <w:r w:rsidRPr="005C4B3E">
        <w:rPr>
          <w:sz w:val="20"/>
          <w:szCs w:val="20"/>
        </w:rPr>
        <w:t>Williamson, "Transaction-Cost Economics: The Governance of Contractual Relations" (1979) 22 Journal of Law and Economics 233, 237.</w:t>
      </w:r>
    </w:p>
  </w:footnote>
  <w:footnote w:id="83">
    <w:p w14:paraId="23D8C004"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Oliver E. </w:t>
      </w:r>
      <w:r w:rsidRPr="005C4B3E">
        <w:rPr>
          <w:sz w:val="20"/>
          <w:szCs w:val="20"/>
        </w:rPr>
        <w:t>Williamson, "Corporate Finance and Corporate Governance" (1988) 43 Journal of Finance 567, 570.</w:t>
      </w:r>
    </w:p>
  </w:footnote>
  <w:footnote w:id="84">
    <w:p w14:paraId="4D4B1B77" w14:textId="77777777" w:rsidR="00897B51" w:rsidRPr="005C4B3E" w:rsidRDefault="00897B51" w:rsidP="00897B51">
      <w:pPr>
        <w:spacing w:after="60"/>
        <w:jc w:val="both"/>
        <w:rPr>
          <w:sz w:val="20"/>
          <w:szCs w:val="20"/>
        </w:rPr>
      </w:pPr>
      <w:r w:rsidRPr="005C4B3E">
        <w:rPr>
          <w:rStyle w:val="FootnoteReference"/>
          <w:sz w:val="20"/>
          <w:szCs w:val="20"/>
        </w:rPr>
        <w:footnoteRef/>
      </w:r>
      <w:r w:rsidRPr="00D93BAC">
        <w:rPr>
          <w:sz w:val="20"/>
          <w:szCs w:val="20"/>
        </w:rPr>
        <w:t>Paul J. DiMaggio and Walter W. Powell, "The Iron Cage Revisited: Institutional Isomorphism and Collective Rationality in Organizational Fields" (1983) 48 American Sociological Review 147, 150.</w:t>
      </w:r>
    </w:p>
  </w:footnote>
  <w:footnote w:id="85">
    <w:p w14:paraId="55697F0B" w14:textId="77777777" w:rsidR="00897B51" w:rsidRDefault="00897B51" w:rsidP="00897B51">
      <w:pPr>
        <w:pStyle w:val="FootnoteText"/>
      </w:pPr>
      <w:r>
        <w:rPr>
          <w:rStyle w:val="FootnoteReference"/>
        </w:rPr>
        <w:footnoteRef/>
      </w:r>
      <w:r>
        <w:t xml:space="preserve"> Ibid</w:t>
      </w:r>
    </w:p>
  </w:footnote>
  <w:footnote w:id="86">
    <w:p w14:paraId="4B3BA888"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Douglass C. </w:t>
      </w:r>
      <w:r w:rsidRPr="005C4B3E">
        <w:rPr>
          <w:sz w:val="20"/>
          <w:szCs w:val="20"/>
        </w:rPr>
        <w:t>North, Institutions, Institutional Change and Economic Performance (Cambridge University Press, 1990) 3.</w:t>
      </w:r>
    </w:p>
  </w:footnote>
  <w:footnote w:id="87">
    <w:p w14:paraId="4ABD3396" w14:textId="77777777" w:rsidR="00897B51" w:rsidRDefault="00897B51" w:rsidP="00897B51">
      <w:pPr>
        <w:pStyle w:val="FootnoteText"/>
      </w:pPr>
      <w:r>
        <w:rPr>
          <w:rStyle w:val="FootnoteReference"/>
        </w:rPr>
        <w:footnoteRef/>
      </w:r>
      <w:r>
        <w:t xml:space="preserve"> Ibid</w:t>
      </w:r>
    </w:p>
  </w:footnote>
  <w:footnote w:id="88">
    <w:p w14:paraId="5770D496"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William Richard </w:t>
      </w:r>
      <w:r w:rsidRPr="005C4B3E">
        <w:rPr>
          <w:sz w:val="20"/>
          <w:szCs w:val="20"/>
        </w:rPr>
        <w:t xml:space="preserve">Scott, Institutions and Organizations: Ideas, Interests and Identities (4th </w:t>
      </w:r>
      <w:proofErr w:type="spellStart"/>
      <w:r w:rsidRPr="005C4B3E">
        <w:rPr>
          <w:sz w:val="20"/>
          <w:szCs w:val="20"/>
        </w:rPr>
        <w:t>edn</w:t>
      </w:r>
      <w:proofErr w:type="spellEnd"/>
      <w:r w:rsidRPr="005C4B3E">
        <w:rPr>
          <w:sz w:val="20"/>
          <w:szCs w:val="20"/>
        </w:rPr>
        <w:t>, SAGE Publications, 2014) 56.</w:t>
      </w:r>
    </w:p>
  </w:footnote>
  <w:footnote w:id="89">
    <w:p w14:paraId="1E986931"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Mark </w:t>
      </w:r>
      <w:proofErr w:type="spellStart"/>
      <w:r w:rsidRPr="005C4B3E">
        <w:rPr>
          <w:sz w:val="20"/>
          <w:szCs w:val="20"/>
        </w:rPr>
        <w:t>Suchman</w:t>
      </w:r>
      <w:proofErr w:type="spellEnd"/>
      <w:r w:rsidRPr="005C4B3E">
        <w:rPr>
          <w:sz w:val="20"/>
          <w:szCs w:val="20"/>
        </w:rPr>
        <w:t>, "Managing Legitimacy: Strategic and Institutional Approaches" (1995) 20 Academy of Management Review 571, 574.</w:t>
      </w:r>
    </w:p>
  </w:footnote>
  <w:footnote w:id="90">
    <w:p w14:paraId="58084974" w14:textId="77777777" w:rsidR="00897B51" w:rsidRDefault="00897B51" w:rsidP="00897B51">
      <w:pPr>
        <w:pStyle w:val="FootnoteText"/>
      </w:pPr>
      <w:r>
        <w:rPr>
          <w:rStyle w:val="FootnoteReference"/>
        </w:rPr>
        <w:footnoteRef/>
      </w:r>
      <w:r>
        <w:t xml:space="preserve"> Ibid</w:t>
      </w:r>
    </w:p>
  </w:footnote>
  <w:footnote w:id="91">
    <w:p w14:paraId="50F6BA03"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F</w:t>
      </w:r>
      <w:r>
        <w:rPr>
          <w:sz w:val="20"/>
          <w:szCs w:val="20"/>
        </w:rPr>
        <w:t>RCN</w:t>
      </w:r>
      <w:r w:rsidRPr="005C4B3E">
        <w:rPr>
          <w:sz w:val="20"/>
          <w:szCs w:val="20"/>
        </w:rPr>
        <w:t xml:space="preserve"> Act 2011, ss 7-9.</w:t>
      </w:r>
    </w:p>
  </w:footnote>
  <w:footnote w:id="92">
    <w:p w14:paraId="244ADAE2" w14:textId="77777777" w:rsidR="00897B51" w:rsidRPr="005C4B3E" w:rsidRDefault="00897B51" w:rsidP="00897B51">
      <w:pPr>
        <w:spacing w:after="60"/>
        <w:jc w:val="both"/>
        <w:rPr>
          <w:sz w:val="20"/>
          <w:szCs w:val="20"/>
        </w:rPr>
      </w:pPr>
      <w:r w:rsidRPr="003546F1">
        <w:rPr>
          <w:rStyle w:val="FootnoteReference"/>
          <w:sz w:val="20"/>
          <w:szCs w:val="20"/>
        </w:rPr>
        <w:footnoteRef/>
      </w:r>
      <w:r w:rsidRPr="003546F1">
        <w:rPr>
          <w:sz w:val="20"/>
          <w:szCs w:val="20"/>
        </w:rPr>
        <w:t>Douglass C. North (n 86) 47.</w:t>
      </w:r>
    </w:p>
  </w:footnote>
  <w:footnote w:id="93">
    <w:p w14:paraId="66BBE91D"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w:t>
      </w:r>
      <w:r>
        <w:rPr>
          <w:sz w:val="20"/>
          <w:szCs w:val="20"/>
        </w:rPr>
        <w:t>SA</w:t>
      </w:r>
      <w:r w:rsidRPr="005C4B3E">
        <w:rPr>
          <w:sz w:val="20"/>
          <w:szCs w:val="20"/>
        </w:rPr>
        <w:t xml:space="preserve"> 20</w:t>
      </w:r>
      <w:r>
        <w:rPr>
          <w:sz w:val="20"/>
          <w:szCs w:val="20"/>
        </w:rPr>
        <w:t>25</w:t>
      </w:r>
      <w:r w:rsidRPr="005C4B3E">
        <w:rPr>
          <w:sz w:val="20"/>
          <w:szCs w:val="20"/>
        </w:rPr>
        <w:t xml:space="preserve">, </w:t>
      </w:r>
      <w:r>
        <w:rPr>
          <w:sz w:val="20"/>
          <w:szCs w:val="20"/>
        </w:rPr>
        <w:t>s</w:t>
      </w:r>
      <w:r w:rsidRPr="005C4B3E">
        <w:rPr>
          <w:sz w:val="20"/>
          <w:szCs w:val="20"/>
        </w:rPr>
        <w:t xml:space="preserve">s </w:t>
      </w:r>
      <w:r>
        <w:rPr>
          <w:sz w:val="20"/>
          <w:szCs w:val="20"/>
        </w:rPr>
        <w:t>355, 95, 89, 3(4)</w:t>
      </w:r>
      <w:r w:rsidRPr="005C4B3E">
        <w:rPr>
          <w:sz w:val="20"/>
          <w:szCs w:val="20"/>
        </w:rPr>
        <w:t>.</w:t>
      </w:r>
    </w:p>
  </w:footnote>
  <w:footnote w:id="94">
    <w:p w14:paraId="51EAF5A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 xml:space="preserve">Isomorphism in the regulatory context is described by DiMaggio and Powell </w:t>
      </w:r>
      <w:r w:rsidRPr="00D93BAC">
        <w:rPr>
          <w:sz w:val="20"/>
          <w:szCs w:val="20"/>
        </w:rPr>
        <w:t>(n 84)</w:t>
      </w:r>
      <w:r w:rsidRPr="005C4B3E">
        <w:rPr>
          <w:sz w:val="20"/>
          <w:szCs w:val="20"/>
        </w:rPr>
        <w:t xml:space="preserve"> 149, as the process by which organi</w:t>
      </w:r>
      <w:r>
        <w:rPr>
          <w:sz w:val="20"/>
          <w:szCs w:val="20"/>
        </w:rPr>
        <w:t>z</w:t>
      </w:r>
      <w:r w:rsidRPr="005C4B3E">
        <w:rPr>
          <w:sz w:val="20"/>
          <w:szCs w:val="20"/>
        </w:rPr>
        <w:t>ations in a given field come to resemble each other through exposure to similar regulatory, normative, and cultural pressures.</w:t>
      </w:r>
    </w:p>
  </w:footnote>
  <w:footnote w:id="95">
    <w:p w14:paraId="3DDE9B4D"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Boniface </w:t>
      </w:r>
      <w:proofErr w:type="spellStart"/>
      <w:r w:rsidRPr="005C4B3E">
        <w:rPr>
          <w:sz w:val="20"/>
          <w:szCs w:val="20"/>
        </w:rPr>
        <w:t>Ahunwan</w:t>
      </w:r>
      <w:proofErr w:type="spellEnd"/>
      <w:r w:rsidRPr="005C4B3E">
        <w:rPr>
          <w:sz w:val="20"/>
          <w:szCs w:val="20"/>
        </w:rPr>
        <w:t>, "Corporate Governance in Nigeria" (2002) 37 Journal of Business Ethics 269, 273.</w:t>
      </w:r>
    </w:p>
  </w:footnote>
  <w:footnote w:id="96">
    <w:p w14:paraId="1FF8A314" w14:textId="77777777" w:rsidR="00897B51" w:rsidRDefault="00897B51" w:rsidP="00897B51">
      <w:pPr>
        <w:pStyle w:val="FootnoteText"/>
      </w:pPr>
      <w:r>
        <w:rPr>
          <w:rStyle w:val="FootnoteReference"/>
        </w:rPr>
        <w:footnoteRef/>
      </w:r>
      <w:r>
        <w:t xml:space="preserve"> Ibid</w:t>
      </w:r>
    </w:p>
  </w:footnote>
  <w:footnote w:id="97">
    <w:p w14:paraId="20950265" w14:textId="77777777" w:rsidR="00897B51" w:rsidRPr="005C4B3E" w:rsidRDefault="00897B51" w:rsidP="00897B51">
      <w:pPr>
        <w:spacing w:after="60"/>
        <w:jc w:val="both"/>
        <w:rPr>
          <w:sz w:val="20"/>
          <w:szCs w:val="20"/>
        </w:rPr>
      </w:pPr>
      <w:r w:rsidRPr="005C4B3E">
        <w:rPr>
          <w:rStyle w:val="FootnoteReference"/>
          <w:sz w:val="20"/>
          <w:szCs w:val="20"/>
        </w:rPr>
        <w:footnoteRef/>
      </w:r>
      <w:r w:rsidRPr="002E7008">
        <w:rPr>
          <w:sz w:val="20"/>
          <w:szCs w:val="20"/>
        </w:rPr>
        <w:t>OECD (n 18)</w:t>
      </w:r>
      <w:r w:rsidRPr="005C4B3E">
        <w:rPr>
          <w:sz w:val="20"/>
          <w:szCs w:val="20"/>
        </w:rPr>
        <w:t xml:space="preserve"> 17.</w:t>
      </w:r>
    </w:p>
  </w:footnote>
  <w:footnote w:id="98">
    <w:p w14:paraId="0F89A526"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Michael C. </w:t>
      </w:r>
      <w:r w:rsidRPr="005C4B3E">
        <w:rPr>
          <w:sz w:val="20"/>
          <w:szCs w:val="20"/>
        </w:rPr>
        <w:t xml:space="preserve">Jensen and </w:t>
      </w:r>
      <w:r>
        <w:rPr>
          <w:sz w:val="20"/>
          <w:szCs w:val="20"/>
        </w:rPr>
        <w:t xml:space="preserve">William H. </w:t>
      </w:r>
      <w:proofErr w:type="spellStart"/>
      <w:r w:rsidRPr="005C4B3E">
        <w:rPr>
          <w:sz w:val="20"/>
          <w:szCs w:val="20"/>
        </w:rPr>
        <w:t>Meckling</w:t>
      </w:r>
      <w:proofErr w:type="spellEnd"/>
      <w:r w:rsidRPr="005C4B3E">
        <w:rPr>
          <w:sz w:val="20"/>
          <w:szCs w:val="20"/>
        </w:rPr>
        <w:t xml:space="preserve">, "Theory of the Firm: Managerial </w:t>
      </w:r>
      <w:proofErr w:type="spellStart"/>
      <w:r w:rsidRPr="005C4B3E">
        <w:rPr>
          <w:sz w:val="20"/>
          <w:szCs w:val="20"/>
        </w:rPr>
        <w:t>Behaviour</w:t>
      </w:r>
      <w:proofErr w:type="spellEnd"/>
      <w:r w:rsidRPr="005C4B3E">
        <w:rPr>
          <w:sz w:val="20"/>
          <w:szCs w:val="20"/>
        </w:rPr>
        <w:t>, Agency Costs and Ownership Structure" (1976) 3 Journal of Financial Economics 305.</w:t>
      </w:r>
    </w:p>
  </w:footnote>
  <w:footnote w:id="99">
    <w:p w14:paraId="2E916F15" w14:textId="77777777" w:rsidR="00897B51" w:rsidRDefault="00897B51" w:rsidP="00897B51">
      <w:pPr>
        <w:pStyle w:val="FootnoteText"/>
      </w:pPr>
      <w:r>
        <w:rPr>
          <w:rStyle w:val="FootnoteReference"/>
        </w:rPr>
        <w:footnoteRef/>
      </w:r>
      <w:r>
        <w:t xml:space="preserve"> Ibid</w:t>
      </w:r>
    </w:p>
  </w:footnote>
  <w:footnote w:id="100">
    <w:p w14:paraId="1C5F4F0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308.</w:t>
      </w:r>
    </w:p>
  </w:footnote>
  <w:footnote w:id="101">
    <w:p w14:paraId="0F675D3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312.</w:t>
      </w:r>
    </w:p>
  </w:footnote>
  <w:footnote w:id="102">
    <w:p w14:paraId="0B6FDE20"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Andrei </w:t>
      </w:r>
      <w:r w:rsidRPr="005C4B3E">
        <w:rPr>
          <w:sz w:val="20"/>
          <w:szCs w:val="20"/>
        </w:rPr>
        <w:t xml:space="preserve">Shleifer and </w:t>
      </w:r>
      <w:r>
        <w:rPr>
          <w:sz w:val="20"/>
          <w:szCs w:val="20"/>
        </w:rPr>
        <w:t xml:space="preserve">Robert W. </w:t>
      </w:r>
      <w:proofErr w:type="spellStart"/>
      <w:r w:rsidRPr="005C4B3E">
        <w:rPr>
          <w:sz w:val="20"/>
          <w:szCs w:val="20"/>
        </w:rPr>
        <w:t>Vishny</w:t>
      </w:r>
      <w:proofErr w:type="spellEnd"/>
      <w:r w:rsidRPr="005C4B3E">
        <w:rPr>
          <w:sz w:val="20"/>
          <w:szCs w:val="20"/>
        </w:rPr>
        <w:t>, "A Survey of Corporate Governance" (1997) 52 Journal of Finance 737.</w:t>
      </w:r>
    </w:p>
  </w:footnote>
  <w:footnote w:id="103">
    <w:p w14:paraId="5DA92E9D"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740.</w:t>
      </w:r>
    </w:p>
  </w:footnote>
  <w:footnote w:id="104">
    <w:p w14:paraId="3E6E37B1"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753.</w:t>
      </w:r>
    </w:p>
  </w:footnote>
  <w:footnote w:id="105">
    <w:p w14:paraId="255B686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Robert A.G. </w:t>
      </w:r>
      <w:r w:rsidRPr="005C4B3E">
        <w:rPr>
          <w:sz w:val="20"/>
          <w:szCs w:val="20"/>
        </w:rPr>
        <w:t xml:space="preserve">Monks and </w:t>
      </w:r>
      <w:r>
        <w:rPr>
          <w:sz w:val="20"/>
          <w:szCs w:val="20"/>
        </w:rPr>
        <w:t xml:space="preserve">Nell </w:t>
      </w:r>
      <w:proofErr w:type="spellStart"/>
      <w:r w:rsidRPr="005C4B3E">
        <w:rPr>
          <w:sz w:val="20"/>
          <w:szCs w:val="20"/>
        </w:rPr>
        <w:t>Minow</w:t>
      </w:r>
      <w:proofErr w:type="spellEnd"/>
      <w:r w:rsidRPr="005C4B3E">
        <w:rPr>
          <w:sz w:val="20"/>
          <w:szCs w:val="20"/>
        </w:rPr>
        <w:t>, (</w:t>
      </w:r>
      <w:r>
        <w:rPr>
          <w:sz w:val="20"/>
          <w:szCs w:val="20"/>
        </w:rPr>
        <w:t>n 15</w:t>
      </w:r>
      <w:r w:rsidRPr="005C4B3E">
        <w:rPr>
          <w:sz w:val="20"/>
          <w:szCs w:val="20"/>
        </w:rPr>
        <w:t>).</w:t>
      </w:r>
    </w:p>
  </w:footnote>
  <w:footnote w:id="106">
    <w:p w14:paraId="3EC10EDC"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6.</w:t>
      </w:r>
    </w:p>
  </w:footnote>
  <w:footnote w:id="107">
    <w:p w14:paraId="0F63E6C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189.</w:t>
      </w:r>
    </w:p>
  </w:footnote>
  <w:footnote w:id="108">
    <w:p w14:paraId="0699973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206.</w:t>
      </w:r>
    </w:p>
  </w:footnote>
  <w:footnote w:id="109">
    <w:p w14:paraId="4D4A1B66" w14:textId="77777777" w:rsidR="00897B51" w:rsidRPr="005C4B3E" w:rsidRDefault="00897B51" w:rsidP="00897B51">
      <w:pPr>
        <w:spacing w:after="60"/>
        <w:jc w:val="both"/>
        <w:rPr>
          <w:sz w:val="20"/>
          <w:szCs w:val="20"/>
        </w:rPr>
      </w:pPr>
      <w:r w:rsidRPr="005C4B3E">
        <w:rPr>
          <w:rStyle w:val="FootnoteReference"/>
          <w:sz w:val="20"/>
          <w:szCs w:val="20"/>
        </w:rPr>
        <w:footnoteRef/>
      </w:r>
      <w:r w:rsidRPr="004A2A5C">
        <w:rPr>
          <w:sz w:val="20"/>
          <w:szCs w:val="20"/>
        </w:rPr>
        <w:t>Jill Solomon (n 61).</w:t>
      </w:r>
    </w:p>
  </w:footnote>
  <w:footnote w:id="110">
    <w:p w14:paraId="2F0A07C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14.</w:t>
      </w:r>
    </w:p>
  </w:footnote>
  <w:footnote w:id="111">
    <w:p w14:paraId="2ED90A1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67.</w:t>
      </w:r>
    </w:p>
  </w:footnote>
  <w:footnote w:id="112">
    <w:p w14:paraId="576552BF"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28.</w:t>
      </w:r>
    </w:p>
  </w:footnote>
  <w:footnote w:id="113">
    <w:p w14:paraId="65245847"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Scott L. </w:t>
      </w:r>
      <w:r w:rsidRPr="00DF7654">
        <w:rPr>
          <w:sz w:val="20"/>
          <w:szCs w:val="20"/>
        </w:rPr>
        <w:t>Hoffman, (n 25)</w:t>
      </w:r>
      <w:r>
        <w:rPr>
          <w:sz w:val="20"/>
          <w:szCs w:val="20"/>
        </w:rPr>
        <w:t>.</w:t>
      </w:r>
    </w:p>
  </w:footnote>
  <w:footnote w:id="114">
    <w:p w14:paraId="3E5B9567" w14:textId="77777777" w:rsidR="00897B51" w:rsidRDefault="00897B51" w:rsidP="00897B51">
      <w:pPr>
        <w:pStyle w:val="FootnoteText"/>
      </w:pPr>
      <w:r>
        <w:rPr>
          <w:rStyle w:val="FootnoteReference"/>
        </w:rPr>
        <w:footnoteRef/>
      </w:r>
      <w:r>
        <w:t xml:space="preserve"> Ibid</w:t>
      </w:r>
    </w:p>
  </w:footnote>
  <w:footnote w:id="115">
    <w:p w14:paraId="5A7F62B0"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w:t>
      </w:r>
    </w:p>
  </w:footnote>
  <w:footnote w:id="116">
    <w:p w14:paraId="63F9E4B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47.</w:t>
      </w:r>
    </w:p>
  </w:footnote>
  <w:footnote w:id="117">
    <w:p w14:paraId="04C7EDBE"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122.</w:t>
      </w:r>
    </w:p>
  </w:footnote>
  <w:footnote w:id="118">
    <w:p w14:paraId="04F83A6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 Edward R. </w:t>
      </w:r>
      <w:proofErr w:type="spellStart"/>
      <w:r w:rsidRPr="005C4B3E">
        <w:rPr>
          <w:sz w:val="20"/>
          <w:szCs w:val="20"/>
        </w:rPr>
        <w:t>Yescombe</w:t>
      </w:r>
      <w:proofErr w:type="spellEnd"/>
      <w:r>
        <w:rPr>
          <w:sz w:val="20"/>
          <w:szCs w:val="20"/>
        </w:rPr>
        <w:t xml:space="preserve"> </w:t>
      </w:r>
      <w:r w:rsidRPr="005C4B3E">
        <w:rPr>
          <w:sz w:val="20"/>
          <w:szCs w:val="20"/>
        </w:rPr>
        <w:t>(</w:t>
      </w:r>
      <w:r>
        <w:rPr>
          <w:sz w:val="20"/>
          <w:szCs w:val="20"/>
        </w:rPr>
        <w:t>n 26</w:t>
      </w:r>
      <w:r w:rsidRPr="005C4B3E">
        <w:rPr>
          <w:sz w:val="20"/>
          <w:szCs w:val="20"/>
        </w:rPr>
        <w:t>).</w:t>
      </w:r>
    </w:p>
  </w:footnote>
  <w:footnote w:id="119">
    <w:p w14:paraId="41E5A450" w14:textId="77777777" w:rsidR="00897B51" w:rsidRDefault="00897B51" w:rsidP="00897B51">
      <w:pPr>
        <w:pStyle w:val="FootnoteText"/>
      </w:pPr>
      <w:r>
        <w:rPr>
          <w:rStyle w:val="FootnoteReference"/>
        </w:rPr>
        <w:footnoteRef/>
      </w:r>
      <w:r>
        <w:t xml:space="preserve"> Ibid </w:t>
      </w:r>
    </w:p>
  </w:footnote>
  <w:footnote w:id="120">
    <w:p w14:paraId="21DD668F"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38.</w:t>
      </w:r>
    </w:p>
  </w:footnote>
  <w:footnote w:id="121">
    <w:p w14:paraId="45B43917"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162.</w:t>
      </w:r>
    </w:p>
  </w:footnote>
  <w:footnote w:id="122">
    <w:p w14:paraId="2DFF099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w:t>
      </w:r>
    </w:p>
  </w:footnote>
  <w:footnote w:id="123">
    <w:p w14:paraId="2C1F9E5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John D. </w:t>
      </w:r>
      <w:r w:rsidRPr="005C4B3E">
        <w:rPr>
          <w:sz w:val="20"/>
          <w:szCs w:val="20"/>
        </w:rPr>
        <w:t>Finnerty, (</w:t>
      </w:r>
      <w:r>
        <w:rPr>
          <w:sz w:val="20"/>
          <w:szCs w:val="20"/>
        </w:rPr>
        <w:t>n 29</w:t>
      </w:r>
      <w:r w:rsidRPr="005C4B3E">
        <w:rPr>
          <w:sz w:val="20"/>
          <w:szCs w:val="20"/>
        </w:rPr>
        <w:t>).</w:t>
      </w:r>
    </w:p>
  </w:footnote>
  <w:footnote w:id="124">
    <w:p w14:paraId="540ABAE3"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w:t>
      </w:r>
    </w:p>
  </w:footnote>
  <w:footnote w:id="125">
    <w:p w14:paraId="3AB0684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88.</w:t>
      </w:r>
    </w:p>
  </w:footnote>
  <w:footnote w:id="126">
    <w:p w14:paraId="1C9D9FD9"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56.</w:t>
      </w:r>
    </w:p>
  </w:footnote>
  <w:footnote w:id="127">
    <w:p w14:paraId="660A0DD0"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Geoffrey D. </w:t>
      </w:r>
      <w:proofErr w:type="spellStart"/>
      <w:r w:rsidRPr="005C4B3E">
        <w:rPr>
          <w:sz w:val="20"/>
          <w:szCs w:val="20"/>
        </w:rPr>
        <w:t>Vinter</w:t>
      </w:r>
      <w:proofErr w:type="spellEnd"/>
      <w:r w:rsidRPr="005C4B3E">
        <w:rPr>
          <w:sz w:val="20"/>
          <w:szCs w:val="20"/>
        </w:rPr>
        <w:t xml:space="preserve"> and </w:t>
      </w:r>
      <w:r>
        <w:rPr>
          <w:sz w:val="20"/>
          <w:szCs w:val="20"/>
        </w:rPr>
        <w:t xml:space="preserve">Gareth </w:t>
      </w:r>
      <w:r w:rsidRPr="005C4B3E">
        <w:rPr>
          <w:sz w:val="20"/>
          <w:szCs w:val="20"/>
        </w:rPr>
        <w:t>Price</w:t>
      </w:r>
      <w:r>
        <w:rPr>
          <w:sz w:val="20"/>
          <w:szCs w:val="20"/>
        </w:rPr>
        <w:t xml:space="preserve"> </w:t>
      </w:r>
      <w:r w:rsidRPr="005C4B3E">
        <w:rPr>
          <w:sz w:val="20"/>
          <w:szCs w:val="20"/>
        </w:rPr>
        <w:t>(</w:t>
      </w:r>
      <w:r>
        <w:rPr>
          <w:sz w:val="20"/>
          <w:szCs w:val="20"/>
        </w:rPr>
        <w:t>n 28</w:t>
      </w:r>
      <w:r w:rsidRPr="005C4B3E">
        <w:rPr>
          <w:sz w:val="20"/>
          <w:szCs w:val="20"/>
        </w:rPr>
        <w:t>).</w:t>
      </w:r>
    </w:p>
  </w:footnote>
  <w:footnote w:id="128">
    <w:p w14:paraId="2AC0D76E"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56.</w:t>
      </w:r>
    </w:p>
  </w:footnote>
  <w:footnote w:id="129">
    <w:p w14:paraId="43155BE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78.</w:t>
      </w:r>
    </w:p>
  </w:footnote>
  <w:footnote w:id="130">
    <w:p w14:paraId="25733E3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101.</w:t>
      </w:r>
    </w:p>
  </w:footnote>
  <w:footnote w:id="131">
    <w:p w14:paraId="51270F56"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Stefano </w:t>
      </w:r>
      <w:proofErr w:type="spellStart"/>
      <w:r w:rsidRPr="005C4B3E">
        <w:rPr>
          <w:sz w:val="20"/>
          <w:szCs w:val="20"/>
        </w:rPr>
        <w:t>Gatti</w:t>
      </w:r>
      <w:proofErr w:type="spellEnd"/>
      <w:r w:rsidRPr="005C4B3E">
        <w:rPr>
          <w:sz w:val="20"/>
          <w:szCs w:val="20"/>
        </w:rPr>
        <w:t>,</w:t>
      </w:r>
      <w:r>
        <w:rPr>
          <w:sz w:val="20"/>
          <w:szCs w:val="20"/>
        </w:rPr>
        <w:t xml:space="preserve"> </w:t>
      </w:r>
      <w:r w:rsidRPr="005C4B3E">
        <w:rPr>
          <w:sz w:val="20"/>
          <w:szCs w:val="20"/>
        </w:rPr>
        <w:t>(</w:t>
      </w:r>
      <w:r>
        <w:rPr>
          <w:sz w:val="20"/>
          <w:szCs w:val="20"/>
        </w:rPr>
        <w:t>n 27</w:t>
      </w:r>
      <w:r w:rsidRPr="005C4B3E">
        <w:rPr>
          <w:sz w:val="20"/>
          <w:szCs w:val="20"/>
        </w:rPr>
        <w:t>).</w:t>
      </w:r>
    </w:p>
  </w:footnote>
  <w:footnote w:id="132">
    <w:p w14:paraId="62842F0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68.</w:t>
      </w:r>
    </w:p>
  </w:footnote>
  <w:footnote w:id="133">
    <w:p w14:paraId="040D291E"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36.</w:t>
      </w:r>
    </w:p>
  </w:footnote>
  <w:footnote w:id="134">
    <w:p w14:paraId="07EF03E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7.</w:t>
      </w:r>
    </w:p>
  </w:footnote>
  <w:footnote w:id="135">
    <w:p w14:paraId="7775312B"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Benjamin C. </w:t>
      </w:r>
      <w:r w:rsidRPr="005C4B3E">
        <w:rPr>
          <w:sz w:val="20"/>
          <w:szCs w:val="20"/>
        </w:rPr>
        <w:t>Esty, "Why Study Large Projects? An Introduction to Research on Project Finance" (2004) 14 European Financial Management 213.</w:t>
      </w:r>
    </w:p>
  </w:footnote>
  <w:footnote w:id="136">
    <w:p w14:paraId="65EC3BAD"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219.</w:t>
      </w:r>
    </w:p>
  </w:footnote>
  <w:footnote w:id="137">
    <w:p w14:paraId="32BA3BD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226.</w:t>
      </w:r>
    </w:p>
  </w:footnote>
  <w:footnote w:id="138">
    <w:p w14:paraId="2D962802"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Benjamin C. </w:t>
      </w:r>
      <w:r w:rsidRPr="005C4B3E">
        <w:rPr>
          <w:sz w:val="20"/>
          <w:szCs w:val="20"/>
        </w:rPr>
        <w:t xml:space="preserve">Esty </w:t>
      </w:r>
      <w:r w:rsidRPr="00EA1BB8">
        <w:rPr>
          <w:sz w:val="20"/>
          <w:szCs w:val="20"/>
        </w:rPr>
        <w:t xml:space="preserve">and </w:t>
      </w:r>
      <w:r>
        <w:rPr>
          <w:sz w:val="20"/>
          <w:szCs w:val="20"/>
        </w:rPr>
        <w:t xml:space="preserve">Williams L. </w:t>
      </w:r>
      <w:r w:rsidRPr="00EA1BB8">
        <w:rPr>
          <w:sz w:val="20"/>
          <w:szCs w:val="20"/>
        </w:rPr>
        <w:t>Megginson</w:t>
      </w:r>
      <w:r w:rsidRPr="005C4B3E">
        <w:rPr>
          <w:sz w:val="20"/>
          <w:szCs w:val="20"/>
        </w:rPr>
        <w:t>, "Creditor Rights, Enforcement, and Debt Ownership Structure: Evidence from the Global Syndicated Loan Market" (2003) 38 Journal of Financial and Quantitative Analysis 37.</w:t>
      </w:r>
    </w:p>
  </w:footnote>
  <w:footnote w:id="139">
    <w:p w14:paraId="74898F1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42.</w:t>
      </w:r>
    </w:p>
  </w:footnote>
  <w:footnote w:id="140">
    <w:p w14:paraId="5C4378A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56.</w:t>
      </w:r>
    </w:p>
  </w:footnote>
  <w:footnote w:id="141">
    <w:p w14:paraId="2378EFCB"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Joseph </w:t>
      </w:r>
      <w:proofErr w:type="spellStart"/>
      <w:r w:rsidRPr="005C4B3E">
        <w:rPr>
          <w:sz w:val="20"/>
          <w:szCs w:val="20"/>
        </w:rPr>
        <w:t>Abugu</w:t>
      </w:r>
      <w:proofErr w:type="spellEnd"/>
      <w:r w:rsidRPr="005C4B3E">
        <w:rPr>
          <w:sz w:val="20"/>
          <w:szCs w:val="20"/>
        </w:rPr>
        <w:t xml:space="preserve">, </w:t>
      </w:r>
      <w:r>
        <w:rPr>
          <w:sz w:val="20"/>
          <w:szCs w:val="20"/>
        </w:rPr>
        <w:t>(n 50)</w:t>
      </w:r>
      <w:r w:rsidRPr="005C4B3E">
        <w:rPr>
          <w:sz w:val="20"/>
          <w:szCs w:val="20"/>
        </w:rPr>
        <w:t>.</w:t>
      </w:r>
    </w:p>
  </w:footnote>
  <w:footnote w:id="142">
    <w:p w14:paraId="7194170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w:t>
      </w:r>
    </w:p>
  </w:footnote>
  <w:footnote w:id="143">
    <w:p w14:paraId="5943A6E1"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87.</w:t>
      </w:r>
    </w:p>
  </w:footnote>
  <w:footnote w:id="144">
    <w:p w14:paraId="1365E90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167.</w:t>
      </w:r>
    </w:p>
  </w:footnote>
  <w:footnote w:id="145">
    <w:p w14:paraId="47A93224"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212.</w:t>
      </w:r>
    </w:p>
  </w:footnote>
  <w:footnote w:id="146">
    <w:p w14:paraId="40F57A4D"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Emmanuel M. </w:t>
      </w:r>
      <w:proofErr w:type="spellStart"/>
      <w:r w:rsidRPr="005C4B3E">
        <w:rPr>
          <w:sz w:val="20"/>
          <w:szCs w:val="20"/>
        </w:rPr>
        <w:t>Okike</w:t>
      </w:r>
      <w:proofErr w:type="spellEnd"/>
      <w:r w:rsidRPr="005C4B3E">
        <w:rPr>
          <w:sz w:val="20"/>
          <w:szCs w:val="20"/>
        </w:rPr>
        <w:t>, "Corporate Governance in Nigeria: The Status Quo" (2007) 15 Corporate Governance: An International Review 173.</w:t>
      </w:r>
    </w:p>
  </w:footnote>
  <w:footnote w:id="147">
    <w:p w14:paraId="2461B30B"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175.</w:t>
      </w:r>
    </w:p>
  </w:footnote>
  <w:footnote w:id="148">
    <w:p w14:paraId="531E6305"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179.</w:t>
      </w:r>
    </w:p>
  </w:footnote>
  <w:footnote w:id="149">
    <w:p w14:paraId="4FC98F3B"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184.</w:t>
      </w:r>
    </w:p>
  </w:footnote>
  <w:footnote w:id="150">
    <w:p w14:paraId="0288B12A"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Boniface </w:t>
      </w:r>
      <w:proofErr w:type="spellStart"/>
      <w:r w:rsidRPr="005C4B3E">
        <w:rPr>
          <w:sz w:val="20"/>
          <w:szCs w:val="20"/>
        </w:rPr>
        <w:t>Ahunwan</w:t>
      </w:r>
      <w:proofErr w:type="spellEnd"/>
      <w:r w:rsidRPr="005C4B3E">
        <w:rPr>
          <w:sz w:val="20"/>
          <w:szCs w:val="20"/>
        </w:rPr>
        <w:t>, (</w:t>
      </w:r>
      <w:r>
        <w:rPr>
          <w:sz w:val="20"/>
          <w:szCs w:val="20"/>
        </w:rPr>
        <w:t>n 95</w:t>
      </w:r>
      <w:r w:rsidRPr="005C4B3E">
        <w:rPr>
          <w:sz w:val="20"/>
          <w:szCs w:val="20"/>
        </w:rPr>
        <w:t>) 269.</w:t>
      </w:r>
    </w:p>
  </w:footnote>
  <w:footnote w:id="151">
    <w:p w14:paraId="51014CDB"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272.</w:t>
      </w:r>
    </w:p>
  </w:footnote>
  <w:footnote w:id="152">
    <w:p w14:paraId="39EE5B0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278.</w:t>
      </w:r>
    </w:p>
  </w:footnote>
  <w:footnote w:id="153">
    <w:p w14:paraId="08271ADA"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282.</w:t>
      </w:r>
    </w:p>
  </w:footnote>
  <w:footnote w:id="154">
    <w:p w14:paraId="5F3DC19C"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Sunday </w:t>
      </w:r>
      <w:r w:rsidRPr="005C4B3E">
        <w:rPr>
          <w:sz w:val="20"/>
          <w:szCs w:val="20"/>
        </w:rPr>
        <w:t xml:space="preserve">Adeyemi and </w:t>
      </w:r>
      <w:r>
        <w:rPr>
          <w:sz w:val="20"/>
          <w:szCs w:val="20"/>
        </w:rPr>
        <w:t xml:space="preserve">Temitope </w:t>
      </w:r>
      <w:proofErr w:type="spellStart"/>
      <w:r w:rsidRPr="005C4B3E">
        <w:rPr>
          <w:sz w:val="20"/>
          <w:szCs w:val="20"/>
        </w:rPr>
        <w:t>Fagbemi</w:t>
      </w:r>
      <w:proofErr w:type="spellEnd"/>
      <w:r w:rsidRPr="005C4B3E">
        <w:rPr>
          <w:sz w:val="20"/>
          <w:szCs w:val="20"/>
        </w:rPr>
        <w:t>, "Audit Quality, Corporate Governance and Firm Characteristics in Nigeria" (2010) 5 International Journal of Business and Management 169.</w:t>
      </w:r>
    </w:p>
  </w:footnote>
  <w:footnote w:id="155">
    <w:p w14:paraId="5F39622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172.</w:t>
      </w:r>
    </w:p>
  </w:footnote>
  <w:footnote w:id="156">
    <w:p w14:paraId="37773BE6"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177.</w:t>
      </w:r>
    </w:p>
  </w:footnote>
  <w:footnote w:id="157">
    <w:p w14:paraId="7441B633" w14:textId="77777777" w:rsidR="00897B51" w:rsidRPr="005C4B3E" w:rsidRDefault="00897B51" w:rsidP="00897B51">
      <w:pPr>
        <w:spacing w:after="60"/>
        <w:jc w:val="both"/>
        <w:rPr>
          <w:sz w:val="20"/>
          <w:szCs w:val="20"/>
        </w:rPr>
      </w:pPr>
      <w:r w:rsidRPr="005C4B3E">
        <w:rPr>
          <w:rStyle w:val="FootnoteReference"/>
          <w:sz w:val="20"/>
          <w:szCs w:val="20"/>
        </w:rPr>
        <w:footnoteRef/>
      </w:r>
      <w:proofErr w:type="spellStart"/>
      <w:r>
        <w:rPr>
          <w:sz w:val="20"/>
          <w:szCs w:val="20"/>
        </w:rPr>
        <w:t>Chukwudi</w:t>
      </w:r>
      <w:proofErr w:type="spellEnd"/>
      <w:r>
        <w:rPr>
          <w:sz w:val="20"/>
          <w:szCs w:val="20"/>
        </w:rPr>
        <w:t xml:space="preserve"> Nnamdi </w:t>
      </w:r>
      <w:r w:rsidRPr="005C4B3E">
        <w:rPr>
          <w:sz w:val="20"/>
          <w:szCs w:val="20"/>
        </w:rPr>
        <w:t>Obi, "Corporate Governance Practices and Firm Performance in Nigeria" (2016) 8 Journal of Economics and Sustainable Development 128.</w:t>
      </w:r>
    </w:p>
  </w:footnote>
  <w:footnote w:id="158">
    <w:p w14:paraId="17F7C5F4"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130.</w:t>
      </w:r>
    </w:p>
  </w:footnote>
  <w:footnote w:id="159">
    <w:p w14:paraId="1771EC3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136.</w:t>
      </w:r>
    </w:p>
  </w:footnote>
  <w:footnote w:id="160">
    <w:p w14:paraId="087F09BE"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World Bank, Report on the Observance of Standards and Codes: Nigeria — Corporate Governance (World Bank, 2012).</w:t>
      </w:r>
    </w:p>
  </w:footnote>
  <w:footnote w:id="161">
    <w:p w14:paraId="0CA56DC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8.</w:t>
      </w:r>
    </w:p>
  </w:footnote>
  <w:footnote w:id="162">
    <w:p w14:paraId="417053A3"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14.</w:t>
      </w:r>
    </w:p>
  </w:footnote>
  <w:footnote w:id="163">
    <w:p w14:paraId="0D457BD8"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21.</w:t>
      </w:r>
    </w:p>
  </w:footnote>
  <w:footnote w:id="164">
    <w:p w14:paraId="3DACC8F6" w14:textId="77777777" w:rsidR="00897B51" w:rsidRDefault="00897B51" w:rsidP="00897B51">
      <w:pPr>
        <w:pStyle w:val="FootnoteText"/>
      </w:pPr>
      <w:r>
        <w:rPr>
          <w:rStyle w:val="FootnoteReference"/>
        </w:rPr>
        <w:footnoteRef/>
      </w:r>
      <w:r>
        <w:t xml:space="preserve"> Rafael La Porta, Florencio Lopez-de-Silanes, Andrei Shleifer and Robert </w:t>
      </w:r>
      <w:proofErr w:type="spellStart"/>
      <w:r>
        <w:t>Vishny</w:t>
      </w:r>
      <w:proofErr w:type="spellEnd"/>
      <w:r>
        <w:t>, 'Law and Finance' (1998) 106 Journal of Political Economy 1113, 1116.</w:t>
      </w:r>
    </w:p>
  </w:footnote>
  <w:footnote w:id="165">
    <w:p w14:paraId="28A667C0" w14:textId="77777777" w:rsidR="00897B51" w:rsidRDefault="00897B51" w:rsidP="00897B51">
      <w:pPr>
        <w:pStyle w:val="FootnoteText"/>
      </w:pPr>
      <w:r>
        <w:rPr>
          <w:rStyle w:val="FootnoteReference"/>
        </w:rPr>
        <w:footnoteRef/>
      </w:r>
      <w:r>
        <w:t xml:space="preserve"> Ibid 1138.</w:t>
      </w:r>
    </w:p>
  </w:footnote>
  <w:footnote w:id="166">
    <w:p w14:paraId="12E6F730" w14:textId="77777777" w:rsidR="00897B51" w:rsidRDefault="00897B51" w:rsidP="00897B51">
      <w:pPr>
        <w:pStyle w:val="FootnoteText"/>
      </w:pPr>
      <w:r>
        <w:rPr>
          <w:rStyle w:val="FootnoteReference"/>
        </w:rPr>
        <w:footnoteRef/>
      </w:r>
      <w:r>
        <w:t xml:space="preserve"> Benjamin Esty and William L. Megginson (n 123) 42.</w:t>
      </w:r>
    </w:p>
  </w:footnote>
  <w:footnote w:id="167">
    <w:p w14:paraId="41A59606" w14:textId="77777777" w:rsidR="00897B51" w:rsidRDefault="00897B51" w:rsidP="00897B51">
      <w:pPr>
        <w:pStyle w:val="FootnoteText"/>
      </w:pPr>
      <w:r>
        <w:rPr>
          <w:rStyle w:val="FootnoteReference"/>
        </w:rPr>
        <w:footnoteRef/>
      </w:r>
      <w:r>
        <w:t xml:space="preserve"> Emmanuel </w:t>
      </w:r>
      <w:proofErr w:type="spellStart"/>
      <w:r>
        <w:t>Adegbite</w:t>
      </w:r>
      <w:proofErr w:type="spellEnd"/>
      <w:r>
        <w:t>, 'Good Corporate Governance in Nigeria: Antecedents, Propositions and Peculiarities' (2015) 24 International Business Review 319, 322.</w:t>
      </w:r>
    </w:p>
  </w:footnote>
  <w:footnote w:id="168">
    <w:p w14:paraId="087936C1" w14:textId="77777777" w:rsidR="00897B51" w:rsidRDefault="00897B51" w:rsidP="00897B51">
      <w:pPr>
        <w:pStyle w:val="FootnoteText"/>
      </w:pPr>
      <w:r>
        <w:rPr>
          <w:rStyle w:val="FootnoteReference"/>
        </w:rPr>
        <w:footnoteRef/>
      </w:r>
      <w:r>
        <w:t xml:space="preserve"> Ibid 324.</w:t>
      </w:r>
    </w:p>
  </w:footnote>
  <w:footnote w:id="169">
    <w:p w14:paraId="2D364409" w14:textId="77777777" w:rsidR="00897B51" w:rsidRDefault="00897B51" w:rsidP="00897B51">
      <w:pPr>
        <w:pStyle w:val="FootnoteText"/>
      </w:pPr>
      <w:r>
        <w:rPr>
          <w:rStyle w:val="FootnoteReference"/>
        </w:rPr>
        <w:footnoteRef/>
      </w:r>
      <w:r>
        <w:t xml:space="preserve"> Ibid 327.</w:t>
      </w:r>
    </w:p>
  </w:footnote>
  <w:footnote w:id="170">
    <w:p w14:paraId="15DCD068" w14:textId="77777777" w:rsidR="00897B51" w:rsidRDefault="00897B51" w:rsidP="00897B51">
      <w:pPr>
        <w:pStyle w:val="FootnoteText"/>
        <w:jc w:val="both"/>
      </w:pPr>
      <w:r>
        <w:rPr>
          <w:rStyle w:val="FootnoteReference"/>
        </w:rPr>
        <w:footnoteRef/>
      </w:r>
      <w:r>
        <w:t xml:space="preserve"> </w:t>
      </w:r>
      <w:proofErr w:type="spellStart"/>
      <w:r>
        <w:t>Elewechi</w:t>
      </w:r>
      <w:proofErr w:type="spellEnd"/>
      <w:r>
        <w:t xml:space="preserve"> N. </w:t>
      </w:r>
      <w:proofErr w:type="spellStart"/>
      <w:r>
        <w:t>Okike</w:t>
      </w:r>
      <w:proofErr w:type="spellEnd"/>
      <w:r>
        <w:t xml:space="preserve"> and Emmanuel </w:t>
      </w:r>
      <w:proofErr w:type="spellStart"/>
      <w:r>
        <w:t>Adegbite</w:t>
      </w:r>
      <w:proofErr w:type="spellEnd"/>
      <w:r>
        <w:t>, 'The Code of Corporate Governance in Nigeria: Efficiency Gains or Social Legitimation?' (2012) 9 Corporate Ownership and Control 262, 264.</w:t>
      </w:r>
    </w:p>
  </w:footnote>
  <w:footnote w:id="171">
    <w:p w14:paraId="5333F607" w14:textId="77777777" w:rsidR="00897B51" w:rsidRDefault="00897B51" w:rsidP="00897B51">
      <w:pPr>
        <w:pStyle w:val="FootnoteText"/>
      </w:pPr>
      <w:r>
        <w:rPr>
          <w:rStyle w:val="FootnoteReference"/>
        </w:rPr>
        <w:footnoteRef/>
      </w:r>
      <w:r>
        <w:t xml:space="preserve"> Ibid 268.</w:t>
      </w:r>
    </w:p>
  </w:footnote>
  <w:footnote w:id="172">
    <w:p w14:paraId="0B7258FE" w14:textId="77777777" w:rsidR="00897B51" w:rsidRDefault="00897B51" w:rsidP="00897B51">
      <w:pPr>
        <w:pStyle w:val="FootnoteText"/>
      </w:pPr>
      <w:r>
        <w:rPr>
          <w:rStyle w:val="FootnoteReference"/>
        </w:rPr>
        <w:footnoteRef/>
      </w:r>
      <w:r>
        <w:t xml:space="preserve"> Ibid 272.</w:t>
      </w:r>
    </w:p>
  </w:footnote>
  <w:footnote w:id="173">
    <w:p w14:paraId="3CCCB1B6" w14:textId="77777777" w:rsidR="00897B51" w:rsidRDefault="00897B51" w:rsidP="00897B51">
      <w:pPr>
        <w:pStyle w:val="FootnoteText"/>
        <w:jc w:val="both"/>
      </w:pPr>
      <w:r>
        <w:rPr>
          <w:rStyle w:val="FootnoteReference"/>
        </w:rPr>
        <w:footnoteRef/>
      </w:r>
      <w:r>
        <w:t xml:space="preserve"> Olufemi </w:t>
      </w:r>
      <w:proofErr w:type="spellStart"/>
      <w:r>
        <w:t>Soyeju</w:t>
      </w:r>
      <w:proofErr w:type="spellEnd"/>
      <w:r>
        <w:t>, 'Mitigating Legal Risks in Nigeria's Project Finance Market' (2017) 25 African Journal of International and Comparative Law 442, 445.</w:t>
      </w:r>
    </w:p>
  </w:footnote>
  <w:footnote w:id="174">
    <w:p w14:paraId="13CA57C1" w14:textId="77777777" w:rsidR="00897B51" w:rsidRDefault="00897B51" w:rsidP="00897B51">
      <w:pPr>
        <w:pStyle w:val="FootnoteText"/>
      </w:pPr>
      <w:r>
        <w:rPr>
          <w:rStyle w:val="FootnoteReference"/>
        </w:rPr>
        <w:footnoteRef/>
      </w:r>
      <w:r>
        <w:t xml:space="preserve"> Ibid 449.</w:t>
      </w:r>
    </w:p>
  </w:footnote>
  <w:footnote w:id="175">
    <w:p w14:paraId="54954946" w14:textId="77777777" w:rsidR="00897B51" w:rsidRDefault="00897B51" w:rsidP="00897B51">
      <w:pPr>
        <w:pStyle w:val="FootnoteText"/>
      </w:pPr>
      <w:r>
        <w:rPr>
          <w:rStyle w:val="FootnoteReference"/>
        </w:rPr>
        <w:footnoteRef/>
      </w:r>
      <w:r>
        <w:t xml:space="preserve"> Ibid 453.</w:t>
      </w:r>
    </w:p>
  </w:footnote>
  <w:footnote w:id="176">
    <w:p w14:paraId="7E28EB2D" w14:textId="77777777" w:rsidR="00897B51" w:rsidRPr="005C4B3E" w:rsidRDefault="00897B51" w:rsidP="00897B51">
      <w:pPr>
        <w:spacing w:after="60"/>
        <w:jc w:val="both"/>
        <w:rPr>
          <w:sz w:val="20"/>
          <w:szCs w:val="20"/>
        </w:rPr>
      </w:pPr>
      <w:r w:rsidRPr="005C4B3E">
        <w:rPr>
          <w:rStyle w:val="FootnoteReference"/>
          <w:sz w:val="20"/>
          <w:szCs w:val="20"/>
        </w:rPr>
        <w:footnoteRef/>
      </w:r>
      <w:r>
        <w:rPr>
          <w:sz w:val="20"/>
          <w:szCs w:val="20"/>
        </w:rPr>
        <w:t xml:space="preserve">V.O. </w:t>
      </w:r>
      <w:proofErr w:type="spellStart"/>
      <w:r w:rsidRPr="005C4B3E">
        <w:rPr>
          <w:sz w:val="20"/>
          <w:szCs w:val="20"/>
        </w:rPr>
        <w:t>Uwaifo</w:t>
      </w:r>
      <w:proofErr w:type="spellEnd"/>
      <w:r w:rsidRPr="005C4B3E">
        <w:rPr>
          <w:sz w:val="20"/>
          <w:szCs w:val="20"/>
        </w:rPr>
        <w:t>, "The Legal Framework for Risk Management in Nigerian Project Finance" (2021) 9 ABUAD Journal of Public and International Law 34.</w:t>
      </w:r>
    </w:p>
  </w:footnote>
  <w:footnote w:id="177">
    <w:p w14:paraId="02D31B02"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37.</w:t>
      </w:r>
    </w:p>
  </w:footnote>
  <w:footnote w:id="178">
    <w:p w14:paraId="77BFC05D" w14:textId="77777777" w:rsidR="00897B51" w:rsidRPr="005C4B3E" w:rsidRDefault="00897B51" w:rsidP="00897B51">
      <w:pPr>
        <w:spacing w:after="60"/>
        <w:jc w:val="both"/>
        <w:rPr>
          <w:sz w:val="20"/>
          <w:szCs w:val="20"/>
        </w:rPr>
      </w:pPr>
      <w:r w:rsidRPr="005C4B3E">
        <w:rPr>
          <w:rStyle w:val="FootnoteReference"/>
          <w:sz w:val="20"/>
          <w:szCs w:val="20"/>
        </w:rPr>
        <w:footnoteRef/>
      </w:r>
      <w:r w:rsidRPr="005C4B3E">
        <w:rPr>
          <w:sz w:val="20"/>
          <w:szCs w:val="20"/>
        </w:rPr>
        <w:t>Ibid 41.</w:t>
      </w:r>
    </w:p>
  </w:footnote>
  <w:footnote w:id="179">
    <w:p w14:paraId="1D2B4D1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w:t>
      </w:r>
      <w:r>
        <w:rPr>
          <w:sz w:val="20"/>
          <w:szCs w:val="20"/>
        </w:rPr>
        <w:t>FRN</w:t>
      </w:r>
      <w:r w:rsidRPr="00F1154D">
        <w:rPr>
          <w:sz w:val="20"/>
          <w:szCs w:val="20"/>
        </w:rPr>
        <w:t xml:space="preserve"> 1999 (as amended 2011), s 1.</w:t>
      </w:r>
    </w:p>
  </w:footnote>
  <w:footnote w:id="180">
    <w:p w14:paraId="213A202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16(1).</w:t>
      </w:r>
    </w:p>
  </w:footnote>
  <w:footnote w:id="181">
    <w:p w14:paraId="4DEFA6F2"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16(2)(c).</w:t>
      </w:r>
    </w:p>
  </w:footnote>
  <w:footnote w:id="182">
    <w:p w14:paraId="7DE46FA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44.</w:t>
      </w:r>
    </w:p>
  </w:footnote>
  <w:footnote w:id="183">
    <w:p w14:paraId="3F9C160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Third Schedule Part I.</w:t>
      </w:r>
    </w:p>
  </w:footnote>
  <w:footnote w:id="184">
    <w:p w14:paraId="620726DF" w14:textId="77777777" w:rsidR="00AB7F86" w:rsidRPr="00F1154D" w:rsidRDefault="00AB7F86" w:rsidP="00AB7F86">
      <w:pPr>
        <w:spacing w:before="60" w:after="60"/>
        <w:rPr>
          <w:sz w:val="20"/>
          <w:szCs w:val="20"/>
        </w:rPr>
      </w:pPr>
      <w:r w:rsidRPr="00F1154D">
        <w:rPr>
          <w:rStyle w:val="FootnoteReference"/>
          <w:sz w:val="20"/>
          <w:szCs w:val="20"/>
        </w:rPr>
        <w:footnoteRef/>
      </w:r>
      <w:r>
        <w:rPr>
          <w:sz w:val="20"/>
          <w:szCs w:val="20"/>
        </w:rPr>
        <w:t xml:space="preserve">Joseph </w:t>
      </w:r>
      <w:proofErr w:type="spellStart"/>
      <w:r w:rsidRPr="00F1154D">
        <w:rPr>
          <w:sz w:val="20"/>
          <w:szCs w:val="20"/>
        </w:rPr>
        <w:t>Abugu</w:t>
      </w:r>
      <w:proofErr w:type="spellEnd"/>
      <w:r w:rsidRPr="00F1154D">
        <w:rPr>
          <w:sz w:val="20"/>
          <w:szCs w:val="20"/>
        </w:rPr>
        <w:t xml:space="preserve">, </w:t>
      </w:r>
      <w:r>
        <w:rPr>
          <w:sz w:val="20"/>
          <w:szCs w:val="20"/>
        </w:rPr>
        <w:t>(n 50)</w:t>
      </w:r>
      <w:r w:rsidRPr="00F1154D">
        <w:rPr>
          <w:sz w:val="20"/>
          <w:szCs w:val="20"/>
        </w:rPr>
        <w:t xml:space="preserve"> 27.</w:t>
      </w:r>
    </w:p>
  </w:footnote>
  <w:footnote w:id="185">
    <w:p w14:paraId="476B28A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w:t>
      </w:r>
      <w:r>
        <w:rPr>
          <w:sz w:val="20"/>
          <w:szCs w:val="20"/>
        </w:rPr>
        <w:t>AMA</w:t>
      </w:r>
      <w:r w:rsidRPr="00F1154D">
        <w:rPr>
          <w:sz w:val="20"/>
          <w:szCs w:val="20"/>
        </w:rPr>
        <w:t xml:space="preserve"> 2020, s 1.</w:t>
      </w:r>
    </w:p>
  </w:footnote>
  <w:footnote w:id="186">
    <w:p w14:paraId="7503813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ss 265–280.</w:t>
      </w:r>
    </w:p>
  </w:footnote>
  <w:footnote w:id="187">
    <w:p w14:paraId="2281AA3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271.</w:t>
      </w:r>
    </w:p>
  </w:footnote>
  <w:footnote w:id="188">
    <w:p w14:paraId="636C14D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307.</w:t>
      </w:r>
    </w:p>
  </w:footnote>
  <w:footnote w:id="189">
    <w:p w14:paraId="4469390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393.</w:t>
      </w:r>
    </w:p>
  </w:footnote>
  <w:footnote w:id="190">
    <w:p w14:paraId="13BE8E9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405.</w:t>
      </w:r>
    </w:p>
  </w:footnote>
  <w:footnote w:id="191">
    <w:p w14:paraId="10716C7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888.</w:t>
      </w:r>
    </w:p>
  </w:footnote>
  <w:footnote w:id="192">
    <w:p w14:paraId="6A5B8FE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w:t>
      </w:r>
      <w:r>
        <w:rPr>
          <w:sz w:val="20"/>
          <w:szCs w:val="20"/>
        </w:rPr>
        <w:t>OFIA</w:t>
      </w:r>
      <w:r w:rsidRPr="00F1154D">
        <w:rPr>
          <w:sz w:val="20"/>
          <w:szCs w:val="20"/>
        </w:rPr>
        <w:t xml:space="preserve"> 2020, s 1.</w:t>
      </w:r>
    </w:p>
  </w:footnote>
  <w:footnote w:id="193">
    <w:p w14:paraId="55ACC6B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12.</w:t>
      </w:r>
    </w:p>
  </w:footnote>
  <w:footnote w:id="194">
    <w:p w14:paraId="604F677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35.</w:t>
      </w:r>
    </w:p>
  </w:footnote>
  <w:footnote w:id="195">
    <w:p w14:paraId="6141210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44.</w:t>
      </w:r>
    </w:p>
  </w:footnote>
  <w:footnote w:id="196">
    <w:p w14:paraId="1A9D4A3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52.</w:t>
      </w:r>
    </w:p>
  </w:footnote>
  <w:footnote w:id="197">
    <w:p w14:paraId="1F33C6D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Risk-Based Supervision Framework (CBN, 2006) para 2.1.</w:t>
      </w:r>
    </w:p>
  </w:footnote>
  <w:footnote w:id="198">
    <w:p w14:paraId="205FF0D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w:t>
      </w:r>
      <w:r>
        <w:rPr>
          <w:sz w:val="20"/>
          <w:szCs w:val="20"/>
        </w:rPr>
        <w:t>SA</w:t>
      </w:r>
      <w:r w:rsidRPr="00F1154D">
        <w:rPr>
          <w:sz w:val="20"/>
          <w:szCs w:val="20"/>
        </w:rPr>
        <w:t xml:space="preserve"> 20</w:t>
      </w:r>
      <w:r>
        <w:rPr>
          <w:sz w:val="20"/>
          <w:szCs w:val="20"/>
        </w:rPr>
        <w:t>25</w:t>
      </w:r>
      <w:r w:rsidRPr="00F1154D">
        <w:rPr>
          <w:sz w:val="20"/>
          <w:szCs w:val="20"/>
        </w:rPr>
        <w:t>, s 1.</w:t>
      </w:r>
    </w:p>
  </w:footnote>
  <w:footnote w:id="199">
    <w:p w14:paraId="1BA612B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w:t>
      </w:r>
      <w:r>
        <w:rPr>
          <w:sz w:val="20"/>
          <w:szCs w:val="20"/>
        </w:rPr>
        <w:t>s 355(1) (r)(iv)</w:t>
      </w:r>
      <w:r w:rsidRPr="00F1154D">
        <w:rPr>
          <w:sz w:val="20"/>
          <w:szCs w:val="20"/>
        </w:rPr>
        <w:t>.</w:t>
      </w:r>
    </w:p>
  </w:footnote>
  <w:footnote w:id="200">
    <w:p w14:paraId="4D289DF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 xml:space="preserve">Ibid s </w:t>
      </w:r>
      <w:r>
        <w:rPr>
          <w:sz w:val="20"/>
          <w:szCs w:val="20"/>
        </w:rPr>
        <w:t>137.</w:t>
      </w:r>
    </w:p>
  </w:footnote>
  <w:footnote w:id="201">
    <w:p w14:paraId="2A41025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98.</w:t>
      </w:r>
    </w:p>
  </w:footnote>
  <w:footnote w:id="202">
    <w:p w14:paraId="1B04B0B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116.</w:t>
      </w:r>
    </w:p>
  </w:footnote>
  <w:footnote w:id="203">
    <w:p w14:paraId="1DFCD4F2" w14:textId="77777777" w:rsidR="00AB7F86" w:rsidRPr="00F1154D" w:rsidRDefault="00AB7F86" w:rsidP="00AB7F86">
      <w:pPr>
        <w:spacing w:before="60" w:after="60"/>
        <w:jc w:val="both"/>
        <w:rPr>
          <w:sz w:val="20"/>
          <w:szCs w:val="20"/>
        </w:rPr>
      </w:pPr>
      <w:r w:rsidRPr="00F1154D">
        <w:rPr>
          <w:rStyle w:val="FootnoteReference"/>
          <w:sz w:val="20"/>
          <w:szCs w:val="20"/>
        </w:rPr>
        <w:footnoteRef/>
      </w:r>
      <w:r w:rsidRPr="00F1154D">
        <w:rPr>
          <w:sz w:val="20"/>
          <w:szCs w:val="20"/>
        </w:rPr>
        <w:t>S</w:t>
      </w:r>
      <w:r>
        <w:rPr>
          <w:sz w:val="20"/>
          <w:szCs w:val="20"/>
        </w:rPr>
        <w:t xml:space="preserve">EC Rules and </w:t>
      </w:r>
      <w:r w:rsidRPr="00F1154D">
        <w:rPr>
          <w:sz w:val="20"/>
          <w:szCs w:val="20"/>
        </w:rPr>
        <w:t xml:space="preserve">Regulations </w:t>
      </w:r>
      <w:r>
        <w:rPr>
          <w:sz w:val="20"/>
          <w:szCs w:val="20"/>
        </w:rPr>
        <w:t>2013</w:t>
      </w:r>
      <w:r w:rsidRPr="00F1154D">
        <w:rPr>
          <w:sz w:val="20"/>
          <w:szCs w:val="20"/>
        </w:rPr>
        <w:t xml:space="preserve"> (</w:t>
      </w:r>
      <w:r>
        <w:rPr>
          <w:sz w:val="20"/>
          <w:szCs w:val="20"/>
        </w:rPr>
        <w:t>as amended</w:t>
      </w:r>
      <w:r w:rsidRPr="00F1154D">
        <w:rPr>
          <w:sz w:val="20"/>
          <w:szCs w:val="20"/>
        </w:rPr>
        <w:t>) Rule 3.</w:t>
      </w:r>
    </w:p>
  </w:footnote>
  <w:footnote w:id="204">
    <w:p w14:paraId="078207A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w:t>
      </w:r>
      <w:r>
        <w:rPr>
          <w:sz w:val="20"/>
          <w:szCs w:val="20"/>
        </w:rPr>
        <w:t>BN</w:t>
      </w:r>
      <w:r w:rsidRPr="00F1154D">
        <w:rPr>
          <w:sz w:val="20"/>
          <w:szCs w:val="20"/>
        </w:rPr>
        <w:t xml:space="preserve"> Act 2007, s 1.</w:t>
      </w:r>
    </w:p>
  </w:footnote>
  <w:footnote w:id="205">
    <w:p w14:paraId="226D67C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w:t>
      </w:r>
    </w:p>
  </w:footnote>
  <w:footnote w:id="206">
    <w:p w14:paraId="5A33987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42.</w:t>
      </w:r>
    </w:p>
  </w:footnote>
  <w:footnote w:id="207">
    <w:p w14:paraId="086CA5D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52.</w:t>
      </w:r>
    </w:p>
  </w:footnote>
  <w:footnote w:id="208">
    <w:p w14:paraId="4B21BFD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58.</w:t>
      </w:r>
    </w:p>
  </w:footnote>
  <w:footnote w:id="209">
    <w:p w14:paraId="68C9FD3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Guidelines on Internal Controls for Financial Institutions (2012) para 1.1.</w:t>
      </w:r>
    </w:p>
  </w:footnote>
  <w:footnote w:id="210">
    <w:p w14:paraId="2804EE5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Act 2011, s 1.</w:t>
      </w:r>
    </w:p>
  </w:footnote>
  <w:footnote w:id="211">
    <w:p w14:paraId="60386FF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7.</w:t>
      </w:r>
    </w:p>
  </w:footnote>
  <w:footnote w:id="212">
    <w:p w14:paraId="702D752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9.</w:t>
      </w:r>
    </w:p>
  </w:footnote>
  <w:footnote w:id="213">
    <w:p w14:paraId="1AF4727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22.</w:t>
      </w:r>
    </w:p>
  </w:footnote>
  <w:footnote w:id="214">
    <w:p w14:paraId="2ED8580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Nigerian Code of Corporate Governance (FRCN, 2018) Principle 1.</w:t>
      </w:r>
    </w:p>
  </w:footnote>
  <w:footnote w:id="215">
    <w:p w14:paraId="3CB52C94"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International Financial Reporting Standards Foundation, IFRS Standards (IFRS Foundation, 2023) IAS 1, para 15.</w:t>
      </w:r>
    </w:p>
  </w:footnote>
  <w:footnote w:id="216">
    <w:p w14:paraId="0D7BFA2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Infrastructure Concession Regulatory Commission (Establishment) Act 2005, s 1.</w:t>
      </w:r>
    </w:p>
  </w:footnote>
  <w:footnote w:id="217">
    <w:p w14:paraId="6838F34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w:t>
      </w:r>
    </w:p>
  </w:footnote>
  <w:footnote w:id="218">
    <w:p w14:paraId="6BD9B25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18.</w:t>
      </w:r>
    </w:p>
  </w:footnote>
  <w:footnote w:id="219">
    <w:p w14:paraId="199BEC1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22.</w:t>
      </w:r>
    </w:p>
  </w:footnote>
  <w:footnote w:id="220">
    <w:p w14:paraId="0DBC9CE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Federal Ministry of Finance, Public Private Partnership Manual for Nigeria (Infrastructure Concession Regulatory Commission, 2011) 11.</w:t>
      </w:r>
    </w:p>
  </w:footnote>
  <w:footnote w:id="221">
    <w:p w14:paraId="17DBF10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Nigerian Code of Corporate Governance (FRCN, 2018) Preamble.</w:t>
      </w:r>
    </w:p>
  </w:footnote>
  <w:footnote w:id="222">
    <w:p w14:paraId="6BBA92B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3.</w:t>
      </w:r>
    </w:p>
  </w:footnote>
  <w:footnote w:id="223">
    <w:p w14:paraId="6F9AD23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14.</w:t>
      </w:r>
    </w:p>
  </w:footnote>
  <w:footnote w:id="224">
    <w:p w14:paraId="217F651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26.</w:t>
      </w:r>
    </w:p>
  </w:footnote>
  <w:footnote w:id="225">
    <w:p w14:paraId="2F57015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17.</w:t>
      </w:r>
    </w:p>
  </w:footnote>
  <w:footnote w:id="226">
    <w:p w14:paraId="37DB77D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Organi</w:t>
      </w:r>
      <w:r>
        <w:rPr>
          <w:sz w:val="20"/>
          <w:szCs w:val="20"/>
        </w:rPr>
        <w:t>z</w:t>
      </w:r>
      <w:r w:rsidRPr="00F1154D">
        <w:rPr>
          <w:sz w:val="20"/>
          <w:szCs w:val="20"/>
        </w:rPr>
        <w:t>ation for Economic Co-operation and Development, OECD Principles of Corporate Governance (OECD Publishing, 2004) 11.</w:t>
      </w:r>
    </w:p>
  </w:footnote>
  <w:footnote w:id="227">
    <w:p w14:paraId="7990678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Code of Corporate Governance for Banks and Discount Houses in Nigeria (CBN, 2014) para 1.1.</w:t>
      </w:r>
    </w:p>
  </w:footnote>
  <w:footnote w:id="228">
    <w:p w14:paraId="33DFFD9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para 2.1.</w:t>
      </w:r>
    </w:p>
  </w:footnote>
  <w:footnote w:id="229">
    <w:p w14:paraId="331013A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para 3.2.</w:t>
      </w:r>
    </w:p>
  </w:footnote>
  <w:footnote w:id="230">
    <w:p w14:paraId="0ACF7F7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para 4.1.</w:t>
      </w:r>
    </w:p>
  </w:footnote>
  <w:footnote w:id="231">
    <w:p w14:paraId="55597A6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para 5.3.</w:t>
      </w:r>
    </w:p>
  </w:footnote>
  <w:footnote w:id="232">
    <w:p w14:paraId="64B9A58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Basel Committee on Banking Supervision, Compliance and the Compliance Function in Banks (Bank for International Settlements, 2005) 7.</w:t>
      </w:r>
    </w:p>
  </w:footnote>
  <w:footnote w:id="233">
    <w:p w14:paraId="410FD2E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Securities and Exchange Commission, Code of Corporate Governance for Public Companies in Nigeria (SEC, 2011) s 1.</w:t>
      </w:r>
    </w:p>
  </w:footnote>
  <w:footnote w:id="234">
    <w:p w14:paraId="171BD8B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w:t>
      </w:r>
    </w:p>
  </w:footnote>
  <w:footnote w:id="235">
    <w:p w14:paraId="2255BFA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8.</w:t>
      </w:r>
    </w:p>
  </w:footnote>
  <w:footnote w:id="236">
    <w:p w14:paraId="4EA6DF22"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12.</w:t>
      </w:r>
    </w:p>
  </w:footnote>
  <w:footnote w:id="237">
    <w:p w14:paraId="72CAF74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Investment and Securities Act 2007, s 98.</w:t>
      </w:r>
    </w:p>
  </w:footnote>
  <w:footnote w:id="238">
    <w:p w14:paraId="6F7DA6D9"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Ahunwan</w:t>
      </w:r>
      <w:proofErr w:type="spellEnd"/>
      <w:r w:rsidRPr="00F1154D">
        <w:rPr>
          <w:sz w:val="20"/>
          <w:szCs w:val="20"/>
        </w:rPr>
        <w:t xml:space="preserve"> B., "Corporate Governance in Nigeria" (2002) 37 Journal of Business Ethics 269, 274.</w:t>
      </w:r>
    </w:p>
  </w:footnote>
  <w:footnote w:id="239">
    <w:p w14:paraId="4276D26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World Bank, Report on the Observance of Standards and Codes: Nigeria — Corporate Governance (World Bank, 2012) 14.</w:t>
      </w:r>
    </w:p>
  </w:footnote>
  <w:footnote w:id="240">
    <w:p w14:paraId="6373D30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Secured Transactions in Movable Assets Act 2017, s 1.</w:t>
      </w:r>
    </w:p>
  </w:footnote>
  <w:footnote w:id="241">
    <w:p w14:paraId="6D7474A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w:t>
      </w:r>
    </w:p>
  </w:footnote>
  <w:footnote w:id="242">
    <w:p w14:paraId="27AD4B0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10.</w:t>
      </w:r>
    </w:p>
  </w:footnote>
  <w:footnote w:id="243">
    <w:p w14:paraId="3E24CD5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19.</w:t>
      </w:r>
    </w:p>
  </w:footnote>
  <w:footnote w:id="244">
    <w:p w14:paraId="24E79054"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27.</w:t>
      </w:r>
    </w:p>
  </w:footnote>
  <w:footnote w:id="245">
    <w:p w14:paraId="62989FAF"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Vinter</w:t>
      </w:r>
      <w:proofErr w:type="spellEnd"/>
      <w:r w:rsidRPr="00F1154D">
        <w:rPr>
          <w:sz w:val="20"/>
          <w:szCs w:val="20"/>
        </w:rPr>
        <w:t xml:space="preserve"> G.D. and Price G., Project Finance: A Legal Guide (3rd </w:t>
      </w:r>
      <w:proofErr w:type="spellStart"/>
      <w:r w:rsidRPr="00F1154D">
        <w:rPr>
          <w:sz w:val="20"/>
          <w:szCs w:val="20"/>
        </w:rPr>
        <w:t>edn</w:t>
      </w:r>
      <w:proofErr w:type="spellEnd"/>
      <w:r w:rsidRPr="00F1154D">
        <w:rPr>
          <w:sz w:val="20"/>
          <w:szCs w:val="20"/>
        </w:rPr>
        <w:t>, Sweet and Maxwell, 2006) 91.</w:t>
      </w:r>
    </w:p>
  </w:footnote>
  <w:footnote w:id="246">
    <w:p w14:paraId="1432ED1F"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Akinrele</w:t>
      </w:r>
      <w:proofErr w:type="spellEnd"/>
      <w:r w:rsidRPr="00F1154D">
        <w:rPr>
          <w:sz w:val="20"/>
          <w:szCs w:val="20"/>
        </w:rPr>
        <w:t xml:space="preserve"> A., "Legal Perspectives on Project Finance Transactions in Nigeria" (2015) 2 Lagos Law Review 1, 8.</w:t>
      </w:r>
    </w:p>
  </w:footnote>
  <w:footnote w:id="247">
    <w:p w14:paraId="00BF6B0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Arbitration and Mediation Act 2023, s 1.</w:t>
      </w:r>
    </w:p>
  </w:footnote>
  <w:footnote w:id="248">
    <w:p w14:paraId="4A787CF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w:t>
      </w:r>
    </w:p>
  </w:footnote>
  <w:footnote w:id="249">
    <w:p w14:paraId="0B5F291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17.</w:t>
      </w:r>
    </w:p>
  </w:footnote>
  <w:footnote w:id="250">
    <w:p w14:paraId="5CB8F58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31.</w:t>
      </w:r>
    </w:p>
  </w:footnote>
  <w:footnote w:id="251">
    <w:p w14:paraId="3EAF4A0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55.</w:t>
      </w:r>
    </w:p>
  </w:footnote>
  <w:footnote w:id="252">
    <w:p w14:paraId="65B6D0A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UNCITRAL Model Law on International Commercial Arbitration 1985 (as amended 2006), art 7.</w:t>
      </w:r>
    </w:p>
  </w:footnote>
  <w:footnote w:id="253">
    <w:p w14:paraId="317014D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Companies and Allied Matters Act 2020, s 8.</w:t>
      </w:r>
    </w:p>
  </w:footnote>
  <w:footnote w:id="254">
    <w:p w14:paraId="33DBC14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11.</w:t>
      </w:r>
    </w:p>
  </w:footnote>
  <w:footnote w:id="255">
    <w:p w14:paraId="1092F72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16.</w:t>
      </w:r>
    </w:p>
  </w:footnote>
  <w:footnote w:id="256">
    <w:p w14:paraId="71210AC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48.</w:t>
      </w:r>
    </w:p>
  </w:footnote>
  <w:footnote w:id="257">
    <w:p w14:paraId="1BA8670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Act 2011, s 3.</w:t>
      </w:r>
    </w:p>
  </w:footnote>
  <w:footnote w:id="258">
    <w:p w14:paraId="2685BB2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8.</w:t>
      </w:r>
    </w:p>
  </w:footnote>
  <w:footnote w:id="259">
    <w:p w14:paraId="736AB7A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29.</w:t>
      </w:r>
    </w:p>
  </w:footnote>
  <w:footnote w:id="260">
    <w:p w14:paraId="6014DA6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Nigerian Code of Corporate Governance (FRCN, 2018) Principle 14.</w:t>
      </w:r>
    </w:p>
  </w:footnote>
  <w:footnote w:id="261">
    <w:p w14:paraId="1B0CC0E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International Federation of Accountants, International Standards on Auditing (IFAC, 2022) ISA 700, para 10.</w:t>
      </w:r>
    </w:p>
  </w:footnote>
  <w:footnote w:id="262">
    <w:p w14:paraId="5350F29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Act 2007, s 2.</w:t>
      </w:r>
    </w:p>
  </w:footnote>
  <w:footnote w:id="263">
    <w:p w14:paraId="6377B684"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28.</w:t>
      </w:r>
    </w:p>
  </w:footnote>
  <w:footnote w:id="264">
    <w:p w14:paraId="02A1C51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42.</w:t>
      </w:r>
    </w:p>
  </w:footnote>
  <w:footnote w:id="265">
    <w:p w14:paraId="1313B73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Risk-Based Supervision Framework (CBN, 2006) para 3.1.</w:t>
      </w:r>
    </w:p>
  </w:footnote>
  <w:footnote w:id="266">
    <w:p w14:paraId="7669607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Banks and Other Financial Institutions Act 2020, s 3.</w:t>
      </w:r>
    </w:p>
  </w:footnote>
  <w:footnote w:id="267">
    <w:p w14:paraId="43A7E7F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Ifeoma O.R. (n 37) 30.</w:t>
      </w:r>
    </w:p>
  </w:footnote>
  <w:footnote w:id="268">
    <w:p w14:paraId="1B7AC414"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Central Bank of Nigeria, Guidelines on Internal Controls for Financial Institutions (CBN, 2012) para 3.2.</w:t>
      </w:r>
    </w:p>
  </w:footnote>
  <w:footnote w:id="269">
    <w:p w14:paraId="4FC0E27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Investment and Securities Act 2007, s 1.</w:t>
      </w:r>
    </w:p>
  </w:footnote>
  <w:footnote w:id="270">
    <w:p w14:paraId="35BD001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13.</w:t>
      </w:r>
    </w:p>
  </w:footnote>
  <w:footnote w:id="271">
    <w:p w14:paraId="2EB86A4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Securities and Exchange Commission, Rules and Regulations of the Securities and Exchange Commission (SEC, 2013) Rule 10.</w:t>
      </w:r>
    </w:p>
  </w:footnote>
  <w:footnote w:id="272">
    <w:p w14:paraId="73D251C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Investment and Securities Act 2007, s 67.</w:t>
      </w:r>
    </w:p>
  </w:footnote>
  <w:footnote w:id="273">
    <w:p w14:paraId="66972DC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Akintola-Bello O. (n 30) 62.</w:t>
      </w:r>
    </w:p>
  </w:footnote>
  <w:footnote w:id="274">
    <w:p w14:paraId="50C4356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World Bank (n 72) 18.</w:t>
      </w:r>
    </w:p>
  </w:footnote>
  <w:footnote w:id="275">
    <w:p w14:paraId="1240E7BE" w14:textId="77777777" w:rsidR="00AB7F86" w:rsidRPr="00F1154D" w:rsidRDefault="00AB7F86" w:rsidP="00AB7F86">
      <w:pPr>
        <w:pStyle w:val="FootnoteText"/>
      </w:pPr>
      <w:r w:rsidRPr="00F1154D">
        <w:rPr>
          <w:rStyle w:val="FootnoteReference"/>
        </w:rPr>
        <w:footnoteRef/>
      </w:r>
      <w:r w:rsidRPr="00F1154D">
        <w:t>World Bank, Report on the Observance of Standards and Codes: Nigeria — Corporate Governance (World Bank, 2012) 18.</w:t>
      </w:r>
    </w:p>
    <w:p w14:paraId="5F071028" w14:textId="77777777" w:rsidR="00AB7F86" w:rsidRPr="00F1154D" w:rsidRDefault="00AB7F86" w:rsidP="00AB7F86">
      <w:pPr>
        <w:rPr>
          <w:sz w:val="20"/>
          <w:szCs w:val="20"/>
        </w:rPr>
      </w:pPr>
    </w:p>
  </w:footnote>
  <w:footnote w:id="276">
    <w:p w14:paraId="2D03A7D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Infrastructure Concession Regulatory Commission (Establishment) Act 2005, s 3.</w:t>
      </w:r>
    </w:p>
  </w:footnote>
  <w:footnote w:id="277">
    <w:p w14:paraId="004AF71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6.</w:t>
      </w:r>
    </w:p>
  </w:footnote>
  <w:footnote w:id="278">
    <w:p w14:paraId="56F5FD3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10.</w:t>
      </w:r>
    </w:p>
  </w:footnote>
  <w:footnote w:id="279">
    <w:p w14:paraId="36008C0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Federal Ministry of Finance (n 49) 14.</w:t>
      </w:r>
    </w:p>
  </w:footnote>
  <w:footnote w:id="280">
    <w:p w14:paraId="4E09280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Babatunde S.O. and others, "Risk Assessment in Public-Private Partnership Infrastructure Projects in Developing Countries" (2015) 10 Journal of Financial Management of Property and Construction 149, 154.</w:t>
      </w:r>
    </w:p>
  </w:footnote>
  <w:footnote w:id="281">
    <w:p w14:paraId="5052ABC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Electric Power Sector Reform Act 2005, s 1.</w:t>
      </w:r>
    </w:p>
  </w:footnote>
  <w:footnote w:id="282">
    <w:p w14:paraId="0E94D374"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32.</w:t>
      </w:r>
    </w:p>
  </w:footnote>
  <w:footnote w:id="283">
    <w:p w14:paraId="7E80BAA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62.</w:t>
      </w:r>
    </w:p>
  </w:footnote>
  <w:footnote w:id="284">
    <w:p w14:paraId="2B860E6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Nigerian Electricity Regulatory Commission, Regulations on Procurement and Bankability of Projects (NERC, 2016) reg 4.</w:t>
      </w:r>
    </w:p>
  </w:footnote>
  <w:footnote w:id="285">
    <w:p w14:paraId="50E489C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P</w:t>
      </w:r>
      <w:r>
        <w:rPr>
          <w:sz w:val="20"/>
          <w:szCs w:val="20"/>
        </w:rPr>
        <w:t>IA</w:t>
      </w:r>
      <w:r w:rsidRPr="00F1154D">
        <w:rPr>
          <w:sz w:val="20"/>
          <w:szCs w:val="20"/>
        </w:rPr>
        <w:t xml:space="preserve"> 2021, s 4.</w:t>
      </w:r>
    </w:p>
  </w:footnote>
  <w:footnote w:id="286">
    <w:p w14:paraId="6A86356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7.</w:t>
      </w:r>
    </w:p>
  </w:footnote>
  <w:footnote w:id="287">
    <w:p w14:paraId="39BBFE1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71.</w:t>
      </w:r>
    </w:p>
  </w:footnote>
  <w:footnote w:id="288">
    <w:p w14:paraId="7C0FCFB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102.</w:t>
      </w:r>
    </w:p>
  </w:footnote>
  <w:footnote w:id="289">
    <w:p w14:paraId="05A04FA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P</w:t>
      </w:r>
      <w:r>
        <w:rPr>
          <w:sz w:val="20"/>
          <w:szCs w:val="20"/>
        </w:rPr>
        <w:t>IA</w:t>
      </w:r>
      <w:r w:rsidRPr="00F1154D">
        <w:rPr>
          <w:sz w:val="20"/>
          <w:szCs w:val="20"/>
        </w:rPr>
        <w:t xml:space="preserve"> 2021, s 29.</w:t>
      </w:r>
    </w:p>
  </w:footnote>
  <w:footnote w:id="290">
    <w:p w14:paraId="721CD87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33.</w:t>
      </w:r>
    </w:p>
  </w:footnote>
  <w:footnote w:id="291">
    <w:p w14:paraId="57A83CE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51.</w:t>
      </w:r>
    </w:p>
  </w:footnote>
  <w:footnote w:id="292">
    <w:p w14:paraId="6C35E38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234.</w:t>
      </w:r>
    </w:p>
  </w:footnote>
  <w:footnote w:id="293">
    <w:p w14:paraId="6A65A76C"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Nigerian Investment Promotion Commission Act 1995 (as amended), s 1.</w:t>
      </w:r>
    </w:p>
  </w:footnote>
  <w:footnote w:id="294">
    <w:p w14:paraId="58D4D93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17.</w:t>
      </w:r>
    </w:p>
  </w:footnote>
  <w:footnote w:id="295">
    <w:p w14:paraId="789ECE6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18.</w:t>
      </w:r>
    </w:p>
  </w:footnote>
  <w:footnote w:id="296">
    <w:p w14:paraId="7F62208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s 24.</w:t>
      </w:r>
    </w:p>
  </w:footnote>
  <w:footnote w:id="297">
    <w:p w14:paraId="7287FC9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Multilateral Investment Guarantee Agency, World Investment and Political Risk Report (MIGA, 2020) 14.</w:t>
      </w:r>
    </w:p>
  </w:footnote>
  <w:footnote w:id="298">
    <w:p w14:paraId="65F31E2D"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Organisation</w:t>
      </w:r>
      <w:proofErr w:type="spellEnd"/>
      <w:r w:rsidRPr="00F1154D">
        <w:rPr>
          <w:sz w:val="20"/>
          <w:szCs w:val="20"/>
        </w:rPr>
        <w:t xml:space="preserve"> for Economic Co-operation and Development, OECD Principles of Corporate Governance (OECD Publishing, 2004) 11.</w:t>
      </w:r>
    </w:p>
  </w:footnote>
  <w:footnote w:id="299">
    <w:p w14:paraId="3AD98A0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17.</w:t>
      </w:r>
    </w:p>
  </w:footnote>
  <w:footnote w:id="300">
    <w:p w14:paraId="4690F4A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24.</w:t>
      </w:r>
    </w:p>
  </w:footnote>
  <w:footnote w:id="301">
    <w:p w14:paraId="42076B4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36.</w:t>
      </w:r>
    </w:p>
  </w:footnote>
  <w:footnote w:id="302">
    <w:p w14:paraId="31ABB29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48.</w:t>
      </w:r>
    </w:p>
  </w:footnote>
  <w:footnote w:id="303">
    <w:p w14:paraId="22EE9030"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World Bank, World Development Report 2002: Building Institutions for Markets (World Bank, 2002) 6.</w:t>
      </w:r>
    </w:p>
  </w:footnote>
  <w:footnote w:id="304">
    <w:p w14:paraId="351E52A9"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14.</w:t>
      </w:r>
    </w:p>
  </w:footnote>
  <w:footnote w:id="305">
    <w:p w14:paraId="6755F35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World Bank, Principles for Public-Private Partnerships (World Bank, 2017) Principle 1.</w:t>
      </w:r>
    </w:p>
  </w:footnote>
  <w:footnote w:id="306">
    <w:p w14:paraId="6765113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4.</w:t>
      </w:r>
    </w:p>
  </w:footnote>
  <w:footnote w:id="307">
    <w:p w14:paraId="2B5174AC" w14:textId="77777777" w:rsidR="00AB7F86" w:rsidRPr="00F1154D" w:rsidRDefault="00AB7F86" w:rsidP="00AB7F86">
      <w:pPr>
        <w:spacing w:before="60" w:after="60"/>
        <w:jc w:val="both"/>
        <w:rPr>
          <w:sz w:val="20"/>
          <w:szCs w:val="20"/>
        </w:rPr>
      </w:pPr>
      <w:r w:rsidRPr="00F1154D">
        <w:rPr>
          <w:rStyle w:val="FootnoteReference"/>
          <w:sz w:val="20"/>
          <w:szCs w:val="20"/>
        </w:rPr>
        <w:footnoteRef/>
      </w:r>
      <w:r w:rsidRPr="00F1154D">
        <w:rPr>
          <w:sz w:val="20"/>
          <w:szCs w:val="20"/>
        </w:rPr>
        <w:t>African Development Bank, "Infrastructure Finance in Africa: Addressing Bankability Constraints" (AfDB, 2018) 16 &lt;https://www.afdb.org/en/document</w:t>
      </w:r>
      <w:r>
        <w:rPr>
          <w:sz w:val="20"/>
          <w:szCs w:val="20"/>
        </w:rPr>
        <w:t>s</w:t>
      </w:r>
      <w:r w:rsidRPr="00F1154D">
        <w:rPr>
          <w:sz w:val="20"/>
          <w:szCs w:val="20"/>
        </w:rPr>
        <w:t xml:space="preserve">&gt; accessed 14 </w:t>
      </w:r>
      <w:r>
        <w:rPr>
          <w:sz w:val="20"/>
          <w:szCs w:val="20"/>
        </w:rPr>
        <w:t>March</w:t>
      </w:r>
      <w:r w:rsidRPr="00F1154D">
        <w:rPr>
          <w:sz w:val="20"/>
          <w:szCs w:val="20"/>
        </w:rPr>
        <w:t xml:space="preserve"> 202</w:t>
      </w:r>
      <w:r>
        <w:rPr>
          <w:sz w:val="20"/>
          <w:szCs w:val="20"/>
        </w:rPr>
        <w:t>6</w:t>
      </w:r>
      <w:r w:rsidRPr="00F1154D">
        <w:rPr>
          <w:sz w:val="20"/>
          <w:szCs w:val="20"/>
        </w:rPr>
        <w:t>.</w:t>
      </w:r>
    </w:p>
  </w:footnote>
  <w:footnote w:id="308">
    <w:p w14:paraId="6EF5A53A" w14:textId="77777777" w:rsidR="00AB7F86" w:rsidRPr="00F1154D" w:rsidRDefault="00AB7F86" w:rsidP="00AB7F86">
      <w:pPr>
        <w:pStyle w:val="FootnoteText"/>
        <w:jc w:val="both"/>
      </w:pPr>
      <w:r w:rsidRPr="00F1154D">
        <w:rPr>
          <w:rStyle w:val="FootnoteReference"/>
        </w:rPr>
        <w:footnoteRef/>
      </w:r>
      <w:r w:rsidRPr="00F1154D">
        <w:t xml:space="preserve">African Development Bank, ‘Infrastructure Finance in Africa: Addressing Bankability Constraints’ (AfDB, 2018) 16 &lt;https://www.afdb.org/en/documents&gt; accessed 14 </w:t>
      </w:r>
      <w:r>
        <w:t>March</w:t>
      </w:r>
      <w:r w:rsidRPr="00F1154D">
        <w:t xml:space="preserve"> 202</w:t>
      </w:r>
      <w:r>
        <w:t>6</w:t>
      </w:r>
      <w:r w:rsidRPr="00F1154D">
        <w:t>.</w:t>
      </w:r>
    </w:p>
  </w:footnote>
  <w:footnote w:id="309">
    <w:p w14:paraId="60D08B7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International Finance Corporation, Environmental and Social Performance Standards (IFC, 2012) Preamble.</w:t>
      </w:r>
    </w:p>
  </w:footnote>
  <w:footnote w:id="310">
    <w:p w14:paraId="3B84507E"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Performance Standard 1, para 7.</w:t>
      </w:r>
    </w:p>
  </w:footnote>
  <w:footnote w:id="311">
    <w:p w14:paraId="5E10C4F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Performance Standard 2, para 1.</w:t>
      </w:r>
    </w:p>
  </w:footnote>
  <w:footnote w:id="312">
    <w:p w14:paraId="4460433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Performance Standard 6, para 1.</w:t>
      </w:r>
    </w:p>
  </w:footnote>
  <w:footnote w:id="313">
    <w:p w14:paraId="3BFF83E0" w14:textId="77777777" w:rsidR="00AB7F86" w:rsidRPr="00F1154D" w:rsidRDefault="00AB7F86" w:rsidP="00AB7F86">
      <w:pPr>
        <w:spacing w:before="60" w:after="60"/>
        <w:rPr>
          <w:sz w:val="20"/>
          <w:szCs w:val="20"/>
        </w:rPr>
      </w:pPr>
      <w:r w:rsidRPr="00F1154D">
        <w:rPr>
          <w:rStyle w:val="FootnoteReference"/>
          <w:sz w:val="20"/>
          <w:szCs w:val="20"/>
        </w:rPr>
        <w:footnoteRef/>
      </w:r>
      <w:r w:rsidRPr="005C4B3E">
        <w:rPr>
          <w:sz w:val="20"/>
          <w:szCs w:val="20"/>
        </w:rPr>
        <w:t>Equator Principles (</w:t>
      </w:r>
      <w:r>
        <w:rPr>
          <w:sz w:val="20"/>
          <w:szCs w:val="20"/>
        </w:rPr>
        <w:t>n 55</w:t>
      </w:r>
      <w:r w:rsidRPr="005C4B3E">
        <w:rPr>
          <w:sz w:val="20"/>
          <w:szCs w:val="20"/>
        </w:rPr>
        <w:t>)</w:t>
      </w:r>
      <w:r w:rsidRPr="00F1154D">
        <w:rPr>
          <w:sz w:val="20"/>
          <w:szCs w:val="20"/>
        </w:rPr>
        <w:t xml:space="preserve"> Preamble.</w:t>
      </w:r>
    </w:p>
  </w:footnote>
  <w:footnote w:id="314">
    <w:p w14:paraId="5472FB9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Basel Committee on Banking Supervision, Basel III: A Global Regulatory Framework for More Resilient Banks and Banking Systems (BIS, 2010) 1.</w:t>
      </w:r>
    </w:p>
  </w:footnote>
  <w:footnote w:id="315">
    <w:p w14:paraId="5A2BD50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12.</w:t>
      </w:r>
    </w:p>
  </w:footnote>
  <w:footnote w:id="316">
    <w:p w14:paraId="5E987EA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24.</w:t>
      </w:r>
    </w:p>
  </w:footnote>
  <w:footnote w:id="317">
    <w:p w14:paraId="1B40ACD5"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Basel Committee on Banking Supervision, Compliance and the Compliance Function in Banks (Bank for International Settlements, 2005) 9.</w:t>
      </w:r>
    </w:p>
  </w:footnote>
  <w:footnote w:id="318">
    <w:p w14:paraId="1B333622"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12.</w:t>
      </w:r>
    </w:p>
  </w:footnote>
  <w:footnote w:id="319">
    <w:p w14:paraId="16B06629" w14:textId="77777777" w:rsidR="00AB7F86" w:rsidRPr="00F1154D" w:rsidRDefault="00AB7F86" w:rsidP="00AB7F86">
      <w:pPr>
        <w:spacing w:before="60" w:after="60"/>
        <w:rPr>
          <w:sz w:val="20"/>
          <w:szCs w:val="20"/>
        </w:rPr>
      </w:pPr>
      <w:r w:rsidRPr="00F1154D">
        <w:rPr>
          <w:rStyle w:val="FootnoteReference"/>
          <w:sz w:val="20"/>
          <w:szCs w:val="20"/>
        </w:rPr>
        <w:footnoteRef/>
      </w:r>
      <w:r w:rsidRPr="005C4B3E">
        <w:rPr>
          <w:sz w:val="20"/>
          <w:szCs w:val="20"/>
        </w:rPr>
        <w:t>Equator Principles (</w:t>
      </w:r>
      <w:r>
        <w:rPr>
          <w:sz w:val="20"/>
          <w:szCs w:val="20"/>
        </w:rPr>
        <w:t>n 55</w:t>
      </w:r>
      <w:r w:rsidRPr="005C4B3E">
        <w:rPr>
          <w:sz w:val="20"/>
          <w:szCs w:val="20"/>
        </w:rPr>
        <w:t>)</w:t>
      </w:r>
      <w:r w:rsidRPr="00F1154D">
        <w:rPr>
          <w:sz w:val="20"/>
          <w:szCs w:val="20"/>
        </w:rPr>
        <w:t xml:space="preserve"> Principle 1.</w:t>
      </w:r>
    </w:p>
  </w:footnote>
  <w:footnote w:id="320">
    <w:p w14:paraId="084BE207"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2.</w:t>
      </w:r>
    </w:p>
  </w:footnote>
  <w:footnote w:id="321">
    <w:p w14:paraId="622AE3A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5.</w:t>
      </w:r>
    </w:p>
  </w:footnote>
  <w:footnote w:id="322">
    <w:p w14:paraId="226D92C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9.</w:t>
      </w:r>
    </w:p>
  </w:footnote>
  <w:footnote w:id="323">
    <w:p w14:paraId="60A5C7B2"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Principle 10.</w:t>
      </w:r>
    </w:p>
  </w:footnote>
  <w:footnote w:id="324">
    <w:p w14:paraId="52EACFD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 xml:space="preserve">Finnerty J.D., Project Financing: Asset-Based Financial Engineering (3rd </w:t>
      </w:r>
      <w:proofErr w:type="spellStart"/>
      <w:r w:rsidRPr="00F1154D">
        <w:rPr>
          <w:sz w:val="20"/>
          <w:szCs w:val="20"/>
        </w:rPr>
        <w:t>edn</w:t>
      </w:r>
      <w:proofErr w:type="spellEnd"/>
      <w:r w:rsidRPr="00F1154D">
        <w:rPr>
          <w:sz w:val="20"/>
          <w:szCs w:val="20"/>
        </w:rPr>
        <w:t>, John Wiley and Sons, 2013) 56.</w:t>
      </w:r>
    </w:p>
  </w:footnote>
  <w:footnote w:id="325">
    <w:p w14:paraId="1534D662"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62.</w:t>
      </w:r>
    </w:p>
  </w:footnote>
  <w:footnote w:id="326">
    <w:p w14:paraId="27112E91" w14:textId="77777777" w:rsidR="00AB7F86" w:rsidRPr="00F1154D" w:rsidRDefault="00AB7F86" w:rsidP="00AB7F86">
      <w:pPr>
        <w:pStyle w:val="FootnoteText"/>
      </w:pPr>
      <w:r w:rsidRPr="00F1154D">
        <w:rPr>
          <w:rStyle w:val="FootnoteReference"/>
        </w:rPr>
        <w:footnoteRef/>
      </w:r>
      <w:r w:rsidRPr="00F1154D">
        <w:t xml:space="preserve"> Companies and Allied Matters Act 2020, s 402.</w:t>
      </w:r>
    </w:p>
  </w:footnote>
  <w:footnote w:id="327">
    <w:p w14:paraId="593436A8" w14:textId="77777777" w:rsidR="00AB7F86" w:rsidRPr="00F1154D" w:rsidRDefault="00AB7F86" w:rsidP="00AB7F86">
      <w:pPr>
        <w:pStyle w:val="FootnoteText"/>
      </w:pPr>
      <w:r w:rsidRPr="00F1154D">
        <w:rPr>
          <w:rStyle w:val="FootnoteReference"/>
        </w:rPr>
        <w:footnoteRef/>
      </w:r>
      <w:r w:rsidRPr="00F1154D">
        <w:t xml:space="preserve"> Salomon v Salomon and Co Ltd [1897] AC 22 (HL); see also Lawal v G.B. </w:t>
      </w:r>
      <w:proofErr w:type="spellStart"/>
      <w:r w:rsidRPr="00F1154D">
        <w:t>Ollivant</w:t>
      </w:r>
      <w:proofErr w:type="spellEnd"/>
      <w:r w:rsidRPr="00F1154D">
        <w:t xml:space="preserve"> and Co Ltd (1970) 1 All NLR 45 (SC).</w:t>
      </w:r>
    </w:p>
  </w:footnote>
  <w:footnote w:id="328">
    <w:p w14:paraId="4321BDE5" w14:textId="77777777" w:rsidR="00AB7F86" w:rsidRPr="00F1154D" w:rsidRDefault="00AB7F86" w:rsidP="00AB7F86">
      <w:pPr>
        <w:pStyle w:val="FootnoteText"/>
      </w:pPr>
      <w:r w:rsidRPr="00F1154D">
        <w:rPr>
          <w:rStyle w:val="FootnoteReference"/>
        </w:rPr>
        <w:footnoteRef/>
      </w:r>
      <w:r w:rsidRPr="00F1154D">
        <w:t xml:space="preserve"> Hoffman S.L. (n 136) 49.</w:t>
      </w:r>
    </w:p>
  </w:footnote>
  <w:footnote w:id="329">
    <w:p w14:paraId="007EE57E"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Vinter</w:t>
      </w:r>
      <w:proofErr w:type="spellEnd"/>
      <w:r w:rsidRPr="00F1154D">
        <w:rPr>
          <w:sz w:val="20"/>
          <w:szCs w:val="20"/>
        </w:rPr>
        <w:t xml:space="preserve"> G.D. and Price G. (n 78) 102.</w:t>
      </w:r>
    </w:p>
  </w:footnote>
  <w:footnote w:id="330">
    <w:p w14:paraId="1F36CA7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108.</w:t>
      </w:r>
    </w:p>
  </w:footnote>
  <w:footnote w:id="331">
    <w:p w14:paraId="14014FA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Companies and Allied Matters Act 2020, s 265.</w:t>
      </w:r>
    </w:p>
  </w:footnote>
  <w:footnote w:id="332">
    <w:p w14:paraId="115AAA8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Esty B.C. and Megginson W.L., "Creditor Rights, Enforcement, and Debt Ownership Structure: Evidence from the Global Syndicated Loan Market" (2003) 38 Journal of Financial and Quantitative Analysis 37, 44.</w:t>
      </w:r>
    </w:p>
  </w:footnote>
  <w:footnote w:id="333">
    <w:p w14:paraId="5E4BE25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Hoffman S.L. (n 136) 49.</w:t>
      </w:r>
    </w:p>
  </w:footnote>
  <w:footnote w:id="334">
    <w:p w14:paraId="203783D5" w14:textId="77777777" w:rsidR="00AB7F86" w:rsidRPr="00F1154D" w:rsidRDefault="00AB7F86" w:rsidP="00AB7F86">
      <w:pPr>
        <w:pStyle w:val="FootnoteText"/>
      </w:pPr>
      <w:r w:rsidRPr="00F1154D">
        <w:rPr>
          <w:rStyle w:val="FootnoteReference"/>
        </w:rPr>
        <w:footnoteRef/>
      </w:r>
      <w:r w:rsidRPr="00F1154D">
        <w:t xml:space="preserve"> SPDC v </w:t>
      </w:r>
      <w:proofErr w:type="spellStart"/>
      <w:r w:rsidRPr="00F1154D">
        <w:t>Ovuakporie</w:t>
      </w:r>
      <w:proofErr w:type="spellEnd"/>
      <w:r w:rsidRPr="00F1154D">
        <w:t xml:space="preserve"> (2004) 4 NWLR (Pt 862) 187, 204 (CA).</w:t>
      </w:r>
    </w:p>
  </w:footnote>
  <w:footnote w:id="335">
    <w:p w14:paraId="0CC9382E" w14:textId="77777777" w:rsidR="00AB7F86" w:rsidRPr="00F1154D" w:rsidRDefault="00AB7F86" w:rsidP="00AB7F86">
      <w:pPr>
        <w:pStyle w:val="FootnoteText"/>
      </w:pPr>
      <w:r w:rsidRPr="00F1154D">
        <w:rPr>
          <w:rStyle w:val="FootnoteReference"/>
        </w:rPr>
        <w:footnoteRef/>
      </w:r>
      <w:r w:rsidRPr="00F1154D">
        <w:t xml:space="preserve"> Esty B.C. and Megginson W.L. (n 123) 44.</w:t>
      </w:r>
    </w:p>
  </w:footnote>
  <w:footnote w:id="336">
    <w:p w14:paraId="1E7D0039"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Delmon</w:t>
      </w:r>
      <w:proofErr w:type="spellEnd"/>
      <w:r w:rsidRPr="00F1154D">
        <w:t xml:space="preserve"> J., Private Sector Investment in Infrastructure: Project Finance, PPP Projects and Risk (2nd </w:t>
      </w:r>
      <w:proofErr w:type="spellStart"/>
      <w:r w:rsidRPr="00F1154D">
        <w:t>edn</w:t>
      </w:r>
      <w:proofErr w:type="spellEnd"/>
      <w:r w:rsidRPr="00F1154D">
        <w:t>, Kluwer Law International, 2009) 81.</w:t>
      </w:r>
    </w:p>
  </w:footnote>
  <w:footnote w:id="337">
    <w:p w14:paraId="3C7E576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 xml:space="preserve">Monks R.A.G. and </w:t>
      </w:r>
      <w:proofErr w:type="spellStart"/>
      <w:r w:rsidRPr="00F1154D">
        <w:rPr>
          <w:sz w:val="20"/>
          <w:szCs w:val="20"/>
        </w:rPr>
        <w:t>Minow</w:t>
      </w:r>
      <w:proofErr w:type="spellEnd"/>
      <w:r w:rsidRPr="00F1154D">
        <w:rPr>
          <w:sz w:val="20"/>
          <w:szCs w:val="20"/>
        </w:rPr>
        <w:t xml:space="preserve"> N., Corporate Governance (4th </w:t>
      </w:r>
      <w:proofErr w:type="spellStart"/>
      <w:r w:rsidRPr="00F1154D">
        <w:rPr>
          <w:sz w:val="20"/>
          <w:szCs w:val="20"/>
        </w:rPr>
        <w:t>edn</w:t>
      </w:r>
      <w:proofErr w:type="spellEnd"/>
      <w:r w:rsidRPr="00F1154D">
        <w:rPr>
          <w:sz w:val="20"/>
          <w:szCs w:val="20"/>
        </w:rPr>
        <w:t>, Blackwell Publishing, 2008) 192.</w:t>
      </w:r>
    </w:p>
  </w:footnote>
  <w:footnote w:id="338">
    <w:p w14:paraId="55ED172A"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201.</w:t>
      </w:r>
    </w:p>
  </w:footnote>
  <w:footnote w:id="339">
    <w:p w14:paraId="039E77EF"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Financial Reporting Council of Nigeria, Nigerian Code of Corporate Governance (FRCN, 2018) Principle 3.</w:t>
      </w:r>
    </w:p>
  </w:footnote>
  <w:footnote w:id="340">
    <w:p w14:paraId="716BBED9" w14:textId="77777777" w:rsidR="00AB7F86" w:rsidRPr="00F1154D" w:rsidRDefault="00AB7F86" w:rsidP="00AB7F86">
      <w:pPr>
        <w:pStyle w:val="FootnoteText"/>
      </w:pPr>
      <w:r w:rsidRPr="00F1154D">
        <w:rPr>
          <w:rStyle w:val="FootnoteReference"/>
        </w:rPr>
        <w:footnoteRef/>
      </w:r>
      <w:r w:rsidRPr="00F1154D">
        <w:t>Financial Reporting Council of Nigeria, Nigerian Code of Corporate Governance (FRCN, 2018) Principles 3 and 5.</w:t>
      </w:r>
    </w:p>
    <w:p w14:paraId="4D857F6C" w14:textId="77777777" w:rsidR="00AB7F86" w:rsidRPr="00F1154D" w:rsidRDefault="00AB7F86" w:rsidP="00AB7F86">
      <w:pPr>
        <w:rPr>
          <w:sz w:val="20"/>
          <w:szCs w:val="20"/>
        </w:rPr>
      </w:pPr>
    </w:p>
  </w:footnote>
  <w:footnote w:id="341">
    <w:p w14:paraId="15761DF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Companies and Allied Matters Act 2020, s 271.</w:t>
      </w:r>
    </w:p>
  </w:footnote>
  <w:footnote w:id="342">
    <w:p w14:paraId="6F693EE3" w14:textId="77777777" w:rsidR="00AB7F86" w:rsidRPr="00F1154D" w:rsidRDefault="00AB7F86" w:rsidP="00AB7F86">
      <w:pPr>
        <w:pStyle w:val="FootnoteText"/>
      </w:pPr>
      <w:r w:rsidRPr="00F1154D">
        <w:rPr>
          <w:rStyle w:val="FootnoteReference"/>
        </w:rPr>
        <w:footnoteRef/>
      </w:r>
      <w:r w:rsidRPr="00F1154D">
        <w:t xml:space="preserve"> Companies and Allied Matters Act 2020, s 288.</w:t>
      </w:r>
    </w:p>
  </w:footnote>
  <w:footnote w:id="343">
    <w:p w14:paraId="339E6B59" w14:textId="77777777" w:rsidR="00AB7F86" w:rsidRPr="00F1154D" w:rsidRDefault="00AB7F86" w:rsidP="00AB7F86">
      <w:pPr>
        <w:pStyle w:val="FootnoteText"/>
      </w:pPr>
      <w:r w:rsidRPr="00F1154D">
        <w:rPr>
          <w:rStyle w:val="FootnoteReference"/>
        </w:rPr>
        <w:footnoteRef/>
      </w:r>
      <w:r w:rsidRPr="00F1154D">
        <w:t xml:space="preserve"> Ibid s 271.</w:t>
      </w:r>
    </w:p>
  </w:footnote>
  <w:footnote w:id="344">
    <w:p w14:paraId="5F8909ED" w14:textId="77777777" w:rsidR="00AB7F86" w:rsidRPr="00F1154D" w:rsidRDefault="00AB7F86" w:rsidP="00AB7F86">
      <w:pPr>
        <w:pStyle w:val="FootnoteText"/>
      </w:pPr>
      <w:r w:rsidRPr="00F1154D">
        <w:rPr>
          <w:rStyle w:val="FootnoteReference"/>
        </w:rPr>
        <w:footnoteRef/>
      </w:r>
      <w:r w:rsidRPr="00F1154D">
        <w:t xml:space="preserve"> Monks R.A.G. and </w:t>
      </w:r>
      <w:proofErr w:type="spellStart"/>
      <w:r w:rsidRPr="00F1154D">
        <w:t>Minow</w:t>
      </w:r>
      <w:proofErr w:type="spellEnd"/>
      <w:r w:rsidRPr="00F1154D">
        <w:t xml:space="preserve"> N. (n 92) 201.</w:t>
      </w:r>
    </w:p>
  </w:footnote>
  <w:footnote w:id="345">
    <w:p w14:paraId="274EA5B6" w14:textId="77777777" w:rsidR="00AB7F86" w:rsidRPr="00F1154D" w:rsidRDefault="00AB7F86" w:rsidP="00AB7F86">
      <w:pPr>
        <w:pStyle w:val="FootnoteText"/>
      </w:pPr>
      <w:r w:rsidRPr="00F1154D">
        <w:rPr>
          <w:rStyle w:val="FootnoteReference"/>
        </w:rPr>
        <w:footnoteRef/>
      </w:r>
      <w:r w:rsidRPr="00F1154D">
        <w:t xml:space="preserve"> Companies and Allied Matters Act 2020, s 404; Financial Reporting Council of Nigeria, Nigerian Code of Corporate Governance (FRCN, 2018) Principle 14.</w:t>
      </w:r>
    </w:p>
  </w:footnote>
  <w:footnote w:id="346">
    <w:p w14:paraId="0F37FE14"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Gatti</w:t>
      </w:r>
      <w:proofErr w:type="spellEnd"/>
      <w:r w:rsidRPr="00F1154D">
        <w:rPr>
          <w:sz w:val="20"/>
          <w:szCs w:val="20"/>
        </w:rPr>
        <w:t xml:space="preserve"> S. (n 167) 36.</w:t>
      </w:r>
    </w:p>
  </w:footnote>
  <w:footnote w:id="347">
    <w:p w14:paraId="721AF94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44.</w:t>
      </w:r>
    </w:p>
  </w:footnote>
  <w:footnote w:id="348">
    <w:p w14:paraId="0FD981CB"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Yescombe</w:t>
      </w:r>
      <w:proofErr w:type="spellEnd"/>
      <w:r w:rsidRPr="00F1154D">
        <w:rPr>
          <w:sz w:val="20"/>
          <w:szCs w:val="20"/>
        </w:rPr>
        <w:t xml:space="preserve"> E.R. (n 177) 162.</w:t>
      </w:r>
    </w:p>
  </w:footnote>
  <w:footnote w:id="349">
    <w:p w14:paraId="2655055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Hoffman S.L. (n 136) 122.</w:t>
      </w:r>
    </w:p>
  </w:footnote>
  <w:footnote w:id="350">
    <w:p w14:paraId="26BB989A" w14:textId="77777777" w:rsidR="00AB7F86" w:rsidRPr="00F1154D" w:rsidRDefault="00AB7F86" w:rsidP="00AB7F86">
      <w:pPr>
        <w:spacing w:before="60" w:after="60"/>
        <w:rPr>
          <w:sz w:val="20"/>
          <w:szCs w:val="20"/>
        </w:rPr>
      </w:pPr>
      <w:r w:rsidRPr="00F1154D">
        <w:rPr>
          <w:rStyle w:val="FootnoteReference"/>
          <w:sz w:val="20"/>
          <w:szCs w:val="20"/>
        </w:rPr>
        <w:footnoteRef/>
      </w:r>
      <w:r w:rsidRPr="005C4B3E">
        <w:rPr>
          <w:sz w:val="20"/>
          <w:szCs w:val="20"/>
        </w:rPr>
        <w:t>Equator Principles (</w:t>
      </w:r>
      <w:r>
        <w:rPr>
          <w:sz w:val="20"/>
          <w:szCs w:val="20"/>
        </w:rPr>
        <w:t>n 55</w:t>
      </w:r>
      <w:r w:rsidRPr="005C4B3E">
        <w:rPr>
          <w:sz w:val="20"/>
          <w:szCs w:val="20"/>
        </w:rPr>
        <w:t>)</w:t>
      </w:r>
      <w:r w:rsidRPr="00F1154D">
        <w:rPr>
          <w:sz w:val="20"/>
          <w:szCs w:val="20"/>
        </w:rPr>
        <w:t xml:space="preserve"> Principle 2.</w:t>
      </w:r>
    </w:p>
  </w:footnote>
  <w:footnote w:id="351">
    <w:p w14:paraId="05DA214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International Finance Corporation (n 156) Performance Standard 1, para 11.</w:t>
      </w:r>
    </w:p>
  </w:footnote>
  <w:footnote w:id="352">
    <w:p w14:paraId="1C3BE974"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Okike</w:t>
      </w:r>
      <w:proofErr w:type="spellEnd"/>
      <w:r w:rsidRPr="00F1154D">
        <w:t xml:space="preserve"> E.N.M. (n 131) 184; </w:t>
      </w:r>
      <w:r>
        <w:t xml:space="preserve">Joseph </w:t>
      </w:r>
      <w:proofErr w:type="spellStart"/>
      <w:r w:rsidRPr="00F1154D">
        <w:t>Abugu</w:t>
      </w:r>
      <w:proofErr w:type="spellEnd"/>
      <w:r w:rsidRPr="00F1154D">
        <w:t xml:space="preserve"> (n </w:t>
      </w:r>
      <w:r>
        <w:t>50</w:t>
      </w:r>
      <w:r w:rsidRPr="00F1154D">
        <w:t>) 212.</w:t>
      </w:r>
    </w:p>
  </w:footnote>
  <w:footnote w:id="353">
    <w:p w14:paraId="4177CB40" w14:textId="77777777" w:rsidR="00AB7F86" w:rsidRPr="00F1154D" w:rsidRDefault="00AB7F86" w:rsidP="00AB7F86">
      <w:pPr>
        <w:pStyle w:val="FootnoteText"/>
      </w:pPr>
      <w:r w:rsidRPr="00F1154D">
        <w:rPr>
          <w:rStyle w:val="FootnoteReference"/>
        </w:rPr>
        <w:footnoteRef/>
      </w:r>
      <w:r w:rsidRPr="00F1154D">
        <w:t xml:space="preserve"> </w:t>
      </w:r>
      <w:r>
        <w:t xml:space="preserve">V.O. </w:t>
      </w:r>
      <w:proofErr w:type="spellStart"/>
      <w:r w:rsidRPr="00F1154D">
        <w:t>Uwaifo</w:t>
      </w:r>
      <w:proofErr w:type="spellEnd"/>
      <w:r w:rsidRPr="00F1154D">
        <w:t xml:space="preserve"> V.O. (n 149) 38.</w:t>
      </w:r>
    </w:p>
  </w:footnote>
  <w:footnote w:id="354">
    <w:p w14:paraId="2BBD345D" w14:textId="77777777" w:rsidR="00AB7F86" w:rsidRPr="00F1154D" w:rsidRDefault="00AB7F86" w:rsidP="00AB7F86">
      <w:pPr>
        <w:pStyle w:val="FootnoteText"/>
      </w:pPr>
      <w:r w:rsidRPr="00F1154D">
        <w:rPr>
          <w:rStyle w:val="FootnoteReference"/>
        </w:rPr>
        <w:footnoteRef/>
      </w:r>
      <w:r w:rsidRPr="00F1154D">
        <w:t xml:space="preserve"> </w:t>
      </w:r>
      <w:r w:rsidRPr="005C4B3E">
        <w:t>Equator Principles (</w:t>
      </w:r>
      <w:r>
        <w:t>n 55</w:t>
      </w:r>
      <w:r w:rsidRPr="005C4B3E">
        <w:t>)</w:t>
      </w:r>
      <w:r w:rsidRPr="00F1154D">
        <w:t xml:space="preserve"> Principle 2.</w:t>
      </w:r>
    </w:p>
  </w:footnote>
  <w:footnote w:id="355">
    <w:p w14:paraId="148E8CA9"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Delmon</w:t>
      </w:r>
      <w:proofErr w:type="spellEnd"/>
      <w:r w:rsidRPr="00F1154D">
        <w:rPr>
          <w:sz w:val="20"/>
          <w:szCs w:val="20"/>
        </w:rPr>
        <w:t xml:space="preserve"> J. (n 50) 24.</w:t>
      </w:r>
    </w:p>
  </w:footnote>
  <w:footnote w:id="356">
    <w:p w14:paraId="3BB6DDB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 xml:space="preserve">Merna T. and Al-Thani F.F., Corporate Risk Management (2nd </w:t>
      </w:r>
      <w:proofErr w:type="spellStart"/>
      <w:r w:rsidRPr="00F1154D">
        <w:rPr>
          <w:sz w:val="20"/>
          <w:szCs w:val="20"/>
        </w:rPr>
        <w:t>edn</w:t>
      </w:r>
      <w:proofErr w:type="spellEnd"/>
      <w:r w:rsidRPr="00F1154D">
        <w:rPr>
          <w:sz w:val="20"/>
          <w:szCs w:val="20"/>
        </w:rPr>
        <w:t>, John Wiley and Sons, 2008) 34.</w:t>
      </w:r>
    </w:p>
  </w:footnote>
  <w:footnote w:id="357">
    <w:p w14:paraId="7163FF9B"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89.</w:t>
      </w:r>
    </w:p>
  </w:footnote>
  <w:footnote w:id="358">
    <w:p w14:paraId="2451C68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 xml:space="preserve">FIDIC, Conditions of Contract for Construction (2nd </w:t>
      </w:r>
      <w:proofErr w:type="spellStart"/>
      <w:r w:rsidRPr="00F1154D">
        <w:rPr>
          <w:sz w:val="20"/>
          <w:szCs w:val="20"/>
        </w:rPr>
        <w:t>edn</w:t>
      </w:r>
      <w:proofErr w:type="spellEnd"/>
      <w:r w:rsidRPr="00F1154D">
        <w:rPr>
          <w:sz w:val="20"/>
          <w:szCs w:val="20"/>
        </w:rPr>
        <w:t>, International Federation of Consulting Engineers, 2017) General Conditions cl 17.</w:t>
      </w:r>
    </w:p>
  </w:footnote>
  <w:footnote w:id="359">
    <w:p w14:paraId="703943F6"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Federal Ministry of Finance (n 49) 24.</w:t>
      </w:r>
    </w:p>
  </w:footnote>
  <w:footnote w:id="360">
    <w:p w14:paraId="5FF1334B" w14:textId="77777777" w:rsidR="00AB7F86" w:rsidRPr="00F1154D" w:rsidRDefault="00AB7F86" w:rsidP="00AB7F86">
      <w:pPr>
        <w:pStyle w:val="FootnoteText"/>
      </w:pPr>
      <w:r w:rsidRPr="00F1154D">
        <w:rPr>
          <w:rStyle w:val="FootnoteReference"/>
        </w:rPr>
        <w:footnoteRef/>
      </w:r>
      <w:r w:rsidRPr="00F1154D">
        <w:t xml:space="preserve"> Federal Ministry of Finance, Public Private Partnership Manual for Nigeria (Infrastructure Concession Regulatory Commission, 2011) 24.</w:t>
      </w:r>
    </w:p>
  </w:footnote>
  <w:footnote w:id="361">
    <w:p w14:paraId="4349B90F" w14:textId="77777777" w:rsidR="00AB7F86" w:rsidRPr="00F1154D" w:rsidRDefault="00AB7F86" w:rsidP="00AB7F86">
      <w:pPr>
        <w:pStyle w:val="FootnoteText"/>
      </w:pPr>
      <w:r w:rsidRPr="00F1154D">
        <w:rPr>
          <w:rStyle w:val="FootnoteReference"/>
        </w:rPr>
        <w:footnoteRef/>
      </w:r>
      <w:r w:rsidRPr="00F1154D">
        <w:t xml:space="preserve"> Afolabi B., ‘Improving Bankability of Infrastructure Projects in Nigeria through Governance Reforms’ (2017) 4 Journal of African Law 211, 215.</w:t>
      </w:r>
    </w:p>
  </w:footnote>
  <w:footnote w:id="362">
    <w:p w14:paraId="7E4D551A"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Soyeju</w:t>
      </w:r>
      <w:proofErr w:type="spellEnd"/>
      <w:r w:rsidRPr="00F1154D">
        <w:t xml:space="preserve"> O., ‘Mitigating Legal Risks in Nigeria’s Project Finance Market’ (2017) 25 African Journal of International and Comparative Law 442, 449.</w:t>
      </w:r>
    </w:p>
  </w:footnote>
  <w:footnote w:id="363">
    <w:p w14:paraId="77C6D2C8" w14:textId="77777777" w:rsidR="00AB7F86" w:rsidRPr="00F1154D" w:rsidRDefault="00AB7F86" w:rsidP="00AB7F86">
      <w:pPr>
        <w:pStyle w:val="FootnoteText"/>
      </w:pPr>
      <w:r w:rsidRPr="00F1154D">
        <w:rPr>
          <w:rStyle w:val="FootnoteReference"/>
        </w:rPr>
        <w:footnoteRef/>
      </w:r>
      <w:r w:rsidRPr="00F1154D">
        <w:t xml:space="preserve"> Multilateral Investment Guarantee Agency, World Investment and Political Risk Report (MIGA, 2020) 14.</w:t>
      </w:r>
    </w:p>
  </w:footnote>
  <w:footnote w:id="364">
    <w:p w14:paraId="21914B1A" w14:textId="77777777" w:rsidR="00AB7F86" w:rsidRPr="00F1154D" w:rsidRDefault="00AB7F86" w:rsidP="00AB7F86">
      <w:pPr>
        <w:spacing w:before="60" w:after="60"/>
        <w:rPr>
          <w:sz w:val="20"/>
          <w:szCs w:val="20"/>
        </w:rPr>
      </w:pPr>
      <w:r w:rsidRPr="00F1154D">
        <w:rPr>
          <w:rStyle w:val="FootnoteReference"/>
          <w:sz w:val="20"/>
          <w:szCs w:val="20"/>
        </w:rPr>
        <w:footnoteRef/>
      </w:r>
      <w:proofErr w:type="spellStart"/>
      <w:r w:rsidRPr="00F1154D">
        <w:rPr>
          <w:sz w:val="20"/>
          <w:szCs w:val="20"/>
        </w:rPr>
        <w:t>Vinter</w:t>
      </w:r>
      <w:proofErr w:type="spellEnd"/>
      <w:r w:rsidRPr="00F1154D">
        <w:rPr>
          <w:sz w:val="20"/>
          <w:szCs w:val="20"/>
        </w:rPr>
        <w:t xml:space="preserve"> G.D. and Price G. (n 78) 134.</w:t>
      </w:r>
    </w:p>
  </w:footnote>
  <w:footnote w:id="365">
    <w:p w14:paraId="5DFAF571"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Ibid 142.</w:t>
      </w:r>
    </w:p>
  </w:footnote>
  <w:footnote w:id="366">
    <w:p w14:paraId="7FA6D773"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Finnerty J.D. (n 175) 88.</w:t>
      </w:r>
    </w:p>
  </w:footnote>
  <w:footnote w:id="367">
    <w:p w14:paraId="3EA44A18"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Hoffman S.L. (n 136) 136.</w:t>
      </w:r>
    </w:p>
  </w:footnote>
  <w:footnote w:id="368">
    <w:p w14:paraId="3FBB432D" w14:textId="77777777" w:rsidR="00AB7F86" w:rsidRPr="00F1154D" w:rsidRDefault="00AB7F86" w:rsidP="00AB7F86">
      <w:pPr>
        <w:spacing w:before="60" w:after="60"/>
        <w:rPr>
          <w:sz w:val="20"/>
          <w:szCs w:val="20"/>
        </w:rPr>
      </w:pPr>
      <w:r w:rsidRPr="00F1154D">
        <w:rPr>
          <w:rStyle w:val="FootnoteReference"/>
          <w:sz w:val="20"/>
          <w:szCs w:val="20"/>
        </w:rPr>
        <w:footnoteRef/>
      </w:r>
      <w:r w:rsidRPr="00F1154D">
        <w:rPr>
          <w:sz w:val="20"/>
          <w:szCs w:val="20"/>
        </w:rPr>
        <w:t>Esty B.C. (n 180) 224.</w:t>
      </w:r>
    </w:p>
  </w:footnote>
  <w:footnote w:id="369">
    <w:p w14:paraId="0E0CE1A1"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Gatti</w:t>
      </w:r>
      <w:proofErr w:type="spellEnd"/>
      <w:r w:rsidRPr="00F1154D">
        <w:t xml:space="preserve"> S. (n 116) 68; </w:t>
      </w:r>
      <w:proofErr w:type="spellStart"/>
      <w:r w:rsidRPr="00F1154D">
        <w:t>Yescombe</w:t>
      </w:r>
      <w:proofErr w:type="spellEnd"/>
      <w:r w:rsidRPr="00F1154D">
        <w:t xml:space="preserve"> E.R. (n 104) 162.</w:t>
      </w:r>
    </w:p>
  </w:footnote>
  <w:footnote w:id="370">
    <w:p w14:paraId="1F388D85" w14:textId="77777777" w:rsidR="00AB7F86" w:rsidRPr="00F1154D" w:rsidRDefault="00AB7F86" w:rsidP="00AB7F86">
      <w:pPr>
        <w:pStyle w:val="FootnoteText"/>
      </w:pPr>
      <w:r w:rsidRPr="00F1154D">
        <w:rPr>
          <w:rStyle w:val="FootnoteReference"/>
        </w:rPr>
        <w:footnoteRef/>
      </w:r>
      <w:r w:rsidRPr="00F1154D">
        <w:t xml:space="preserve"> Financial Reporting Council of Nigeria Act 2011, s 22; International Financial Reporting Standards Foundation, IFRS Standards (IFRS Foundation, 2023) IAS 1, para 15.</w:t>
      </w:r>
    </w:p>
  </w:footnote>
  <w:footnote w:id="371">
    <w:p w14:paraId="5799EB5A"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GTBank</w:t>
      </w:r>
      <w:proofErr w:type="spellEnd"/>
      <w:r w:rsidRPr="00F1154D">
        <w:t xml:space="preserve"> Plc v </w:t>
      </w:r>
      <w:proofErr w:type="spellStart"/>
      <w:r w:rsidRPr="00F1154D">
        <w:t>Adedamola</w:t>
      </w:r>
      <w:proofErr w:type="spellEnd"/>
      <w:r w:rsidRPr="00F1154D">
        <w:t xml:space="preserve"> (2012) 6 NWLR (Pt 1295) 108, 124 (CA); First Bank of Nigeria Plc v </w:t>
      </w:r>
      <w:proofErr w:type="spellStart"/>
      <w:r w:rsidRPr="00F1154D">
        <w:t>Maiwada</w:t>
      </w:r>
      <w:proofErr w:type="spellEnd"/>
      <w:r w:rsidRPr="00F1154D">
        <w:t xml:space="preserve"> (2013) 5 NWLR (Pt 1347) 444, 463 (SC).</w:t>
      </w:r>
    </w:p>
  </w:footnote>
  <w:footnote w:id="372">
    <w:p w14:paraId="46E6B2D6" w14:textId="77777777" w:rsidR="00AB7F86" w:rsidRPr="00F1154D" w:rsidRDefault="00AB7F86" w:rsidP="00AB7F86">
      <w:pPr>
        <w:pStyle w:val="FootnoteText"/>
      </w:pPr>
      <w:r w:rsidRPr="00F1154D">
        <w:rPr>
          <w:rStyle w:val="FootnoteReference"/>
        </w:rPr>
        <w:footnoteRef/>
      </w:r>
      <w:r w:rsidRPr="00F1154D">
        <w:t xml:space="preserve"> Companies and Allied Matters Act 2020; Petroleum Industry Act 2021; Arbitration and Mediation Act 2023; Secured Transactions in Movable Assets Act 2017.</w:t>
      </w:r>
    </w:p>
  </w:footnote>
  <w:footnote w:id="373">
    <w:p w14:paraId="1B679F1A"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Adegbite</w:t>
      </w:r>
      <w:proofErr w:type="spellEnd"/>
      <w:r w:rsidRPr="00F1154D">
        <w:t xml:space="preserve"> E. (n 158) 327.</w:t>
      </w:r>
    </w:p>
  </w:footnote>
  <w:footnote w:id="374">
    <w:p w14:paraId="714F5660" w14:textId="77777777" w:rsidR="00AB7F86" w:rsidRPr="00F1154D" w:rsidRDefault="00AB7F86" w:rsidP="00AB7F86">
      <w:pPr>
        <w:pStyle w:val="FootnoteText"/>
      </w:pPr>
      <w:r w:rsidRPr="00F1154D">
        <w:rPr>
          <w:rStyle w:val="FootnoteReference"/>
        </w:rPr>
        <w:footnoteRef/>
      </w:r>
      <w:r w:rsidRPr="00F1154D">
        <w:t xml:space="preserve"> World Bank, Report on the Observance of Standards and Codes: Nigeria — Corporate Governance (World Bank, 2012) 18.</w:t>
      </w:r>
    </w:p>
  </w:footnote>
  <w:footnote w:id="375">
    <w:p w14:paraId="0BB187FB"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Uwaifo</w:t>
      </w:r>
      <w:proofErr w:type="spellEnd"/>
      <w:r w:rsidRPr="00F1154D">
        <w:t xml:space="preserve"> V.O. (n 149) 38.</w:t>
      </w:r>
    </w:p>
  </w:footnote>
  <w:footnote w:id="376">
    <w:p w14:paraId="34BA5943" w14:textId="77777777" w:rsidR="00AB7F86" w:rsidRPr="00F1154D" w:rsidRDefault="00AB7F86" w:rsidP="00AB7F86">
      <w:pPr>
        <w:pStyle w:val="FootnoteText"/>
      </w:pPr>
      <w:r w:rsidRPr="00F1154D">
        <w:rPr>
          <w:rStyle w:val="FootnoteReference"/>
        </w:rPr>
        <w:footnoteRef/>
      </w:r>
      <w:r w:rsidRPr="00F1154D">
        <w:t xml:space="preserve"> </w:t>
      </w:r>
      <w:r w:rsidRPr="005C4B3E">
        <w:t>Equator Principles (</w:t>
      </w:r>
      <w:r>
        <w:t>n 55</w:t>
      </w:r>
      <w:r w:rsidRPr="005C4B3E">
        <w:t>)</w:t>
      </w:r>
      <w:r w:rsidRPr="00F1154D">
        <w:t xml:space="preserve"> Principle 1; </w:t>
      </w:r>
      <w:proofErr w:type="spellStart"/>
      <w:r>
        <w:t>Steffano</w:t>
      </w:r>
      <w:proofErr w:type="spellEnd"/>
      <w:r>
        <w:t xml:space="preserve"> </w:t>
      </w:r>
      <w:proofErr w:type="spellStart"/>
      <w:r w:rsidRPr="00F1154D">
        <w:t>Gatti</w:t>
      </w:r>
      <w:proofErr w:type="spellEnd"/>
      <w:r w:rsidRPr="00F1154D">
        <w:t xml:space="preserve"> </w:t>
      </w:r>
      <w:r w:rsidRPr="00236B42">
        <w:rPr>
          <w:highlight w:val="yellow"/>
        </w:rPr>
        <w:t>(n 116)</w:t>
      </w:r>
      <w:r w:rsidRPr="00F1154D">
        <w:t xml:space="preserve"> 7.</w:t>
      </w:r>
    </w:p>
  </w:footnote>
  <w:footnote w:id="377">
    <w:p w14:paraId="6BFF3834" w14:textId="77777777" w:rsidR="00AB7F86" w:rsidRPr="00F1154D" w:rsidRDefault="00AB7F86" w:rsidP="00AB7F86">
      <w:pPr>
        <w:pStyle w:val="FootnoteText"/>
      </w:pPr>
      <w:r w:rsidRPr="00F1154D">
        <w:rPr>
          <w:rStyle w:val="FootnoteReference"/>
        </w:rPr>
        <w:footnoteRef/>
      </w:r>
      <w:r w:rsidRPr="00F1154D">
        <w:t xml:space="preserve"> La Porta R., Lopez-de-Silanes F., Shleifer A. and </w:t>
      </w:r>
      <w:proofErr w:type="spellStart"/>
      <w:r w:rsidRPr="00F1154D">
        <w:t>Vishny</w:t>
      </w:r>
      <w:proofErr w:type="spellEnd"/>
      <w:r w:rsidRPr="00F1154D">
        <w:t xml:space="preserve"> R.W., ‘Law and Finance’ (1998) 106 Journal of Political Economy 1113, 1138.</w:t>
      </w:r>
    </w:p>
  </w:footnote>
  <w:footnote w:id="378">
    <w:p w14:paraId="391C0D11"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Okike</w:t>
      </w:r>
      <w:proofErr w:type="spellEnd"/>
      <w:r w:rsidRPr="00F1154D">
        <w:t xml:space="preserve"> E.N.M. (n 131) 184; Afolabi B. (n 34) 219.</w:t>
      </w:r>
    </w:p>
  </w:footnote>
  <w:footnote w:id="379">
    <w:p w14:paraId="042E077E" w14:textId="77777777" w:rsidR="00AB7F86" w:rsidRPr="00F1154D" w:rsidRDefault="00AB7F86" w:rsidP="00AB7F86">
      <w:pPr>
        <w:pStyle w:val="FootnoteText"/>
      </w:pPr>
      <w:r w:rsidRPr="00F1154D">
        <w:rPr>
          <w:rStyle w:val="FootnoteReference"/>
        </w:rPr>
        <w:footnoteRef/>
      </w:r>
      <w:r w:rsidRPr="00F1154D">
        <w:t xml:space="preserve"> </w:t>
      </w:r>
      <w:proofErr w:type="spellStart"/>
      <w:r w:rsidRPr="00F1154D">
        <w:t>Tricker</w:t>
      </w:r>
      <w:proofErr w:type="spellEnd"/>
      <w:r w:rsidRPr="00F1154D">
        <w:t xml:space="preserve"> R.I., Corporate Governance: Principles, Policies and Practices (3rd </w:t>
      </w:r>
      <w:proofErr w:type="spellStart"/>
      <w:r w:rsidRPr="00F1154D">
        <w:t>edn</w:t>
      </w:r>
      <w:proofErr w:type="spellEnd"/>
      <w:r w:rsidRPr="00F1154D">
        <w:t>, Oxford University Press, 2015) 214.</w:t>
      </w:r>
    </w:p>
  </w:footnote>
  <w:footnote w:id="380">
    <w:p w14:paraId="4DBA25D9" w14:textId="77777777" w:rsidR="00353F2F" w:rsidRDefault="00353F2F" w:rsidP="00353F2F">
      <w:pPr>
        <w:spacing w:before="60" w:after="60"/>
      </w:pPr>
      <w:r>
        <w:rPr>
          <w:rStyle w:val="FootnoteReference"/>
        </w:rPr>
        <w:footnoteRef/>
      </w:r>
      <w:proofErr w:type="spellStart"/>
      <w:r>
        <w:rPr>
          <w:sz w:val="18"/>
          <w:szCs w:val="18"/>
        </w:rPr>
        <w:t>Okike</w:t>
      </w:r>
      <w:proofErr w:type="spellEnd"/>
      <w:r>
        <w:rPr>
          <w:sz w:val="18"/>
          <w:szCs w:val="18"/>
        </w:rPr>
        <w:t xml:space="preserve"> E.N.M., "Corporate Governance in Nigeria: The Status Quo" (2007) 15 Corporate Governance: An International Review 173, 175.</w:t>
      </w:r>
    </w:p>
  </w:footnote>
  <w:footnote w:id="381">
    <w:p w14:paraId="794AD5F6" w14:textId="77777777" w:rsidR="00353F2F" w:rsidRDefault="00353F2F" w:rsidP="00353F2F">
      <w:pPr>
        <w:spacing w:before="60" w:after="60"/>
      </w:pPr>
      <w:r>
        <w:rPr>
          <w:rStyle w:val="FootnoteReference"/>
        </w:rPr>
        <w:footnoteRef/>
      </w:r>
      <w:r>
        <w:rPr>
          <w:sz w:val="18"/>
          <w:szCs w:val="18"/>
        </w:rPr>
        <w:t>Parker C. and Nielsen V.L., Explaining Compliance: Business Responses to Regulation (Edward Elgar Publishing, 2011) 4.</w:t>
      </w:r>
    </w:p>
  </w:footnote>
  <w:footnote w:id="382">
    <w:p w14:paraId="46FF404B" w14:textId="77777777" w:rsidR="00353F2F" w:rsidRDefault="00353F2F" w:rsidP="00353F2F">
      <w:pPr>
        <w:spacing w:before="60" w:after="60"/>
      </w:pPr>
      <w:r>
        <w:rPr>
          <w:rStyle w:val="FootnoteReference"/>
        </w:rPr>
        <w:footnoteRef/>
      </w:r>
      <w:r>
        <w:rPr>
          <w:sz w:val="18"/>
          <w:szCs w:val="18"/>
        </w:rPr>
        <w:t>North D.C., Institutions, Institutional Change and Economic Performance (Cambridge University Press, 1990) 47.</w:t>
      </w:r>
    </w:p>
  </w:footnote>
  <w:footnote w:id="383">
    <w:p w14:paraId="495255E3" w14:textId="77777777" w:rsidR="00353F2F" w:rsidRDefault="00353F2F" w:rsidP="00353F2F">
      <w:pPr>
        <w:spacing w:before="60" w:after="60"/>
      </w:pPr>
      <w:r>
        <w:rPr>
          <w:rStyle w:val="FootnoteReference"/>
        </w:rPr>
        <w:footnoteRef/>
      </w:r>
      <w:r>
        <w:rPr>
          <w:sz w:val="18"/>
          <w:szCs w:val="18"/>
        </w:rPr>
        <w:t>Ibid 83.</w:t>
      </w:r>
    </w:p>
  </w:footnote>
  <w:footnote w:id="384">
    <w:p w14:paraId="76B5BABB" w14:textId="77777777" w:rsidR="00353F2F" w:rsidRDefault="00353F2F" w:rsidP="00353F2F">
      <w:pPr>
        <w:spacing w:before="60" w:after="60"/>
      </w:pPr>
      <w:r>
        <w:rPr>
          <w:rStyle w:val="FootnoteReference"/>
        </w:rPr>
        <w:footnoteRef/>
      </w:r>
      <w:proofErr w:type="spellStart"/>
      <w:r>
        <w:rPr>
          <w:sz w:val="18"/>
          <w:szCs w:val="18"/>
        </w:rPr>
        <w:t>Abugu</w:t>
      </w:r>
      <w:proofErr w:type="spellEnd"/>
      <w:r>
        <w:rPr>
          <w:sz w:val="18"/>
          <w:szCs w:val="18"/>
        </w:rPr>
        <w:t xml:space="preserve"> J., Corporate Governance Law in Nigeria (Malthouse Press, 2014) 212.</w:t>
      </w:r>
    </w:p>
  </w:footnote>
  <w:footnote w:id="385">
    <w:p w14:paraId="34C98CE6" w14:textId="77777777" w:rsidR="00353F2F" w:rsidRDefault="00353F2F" w:rsidP="00353F2F">
      <w:pPr>
        <w:spacing w:before="60" w:after="60"/>
      </w:pPr>
      <w:r>
        <w:rPr>
          <w:rStyle w:val="FootnoteReference"/>
        </w:rPr>
        <w:footnoteRef/>
      </w:r>
      <w:r>
        <w:rPr>
          <w:sz w:val="18"/>
          <w:szCs w:val="18"/>
        </w:rPr>
        <w:t>Financial Reporting Council of Nigeria Act 2011, s 29.</w:t>
      </w:r>
    </w:p>
  </w:footnote>
  <w:footnote w:id="386">
    <w:p w14:paraId="332F1BDD" w14:textId="77777777" w:rsidR="00353F2F" w:rsidRDefault="00353F2F" w:rsidP="00353F2F">
      <w:pPr>
        <w:spacing w:before="60" w:after="60"/>
      </w:pPr>
      <w:r>
        <w:rPr>
          <w:rStyle w:val="FootnoteReference"/>
        </w:rPr>
        <w:footnoteRef/>
      </w:r>
      <w:proofErr w:type="spellStart"/>
      <w:r>
        <w:rPr>
          <w:sz w:val="18"/>
          <w:szCs w:val="18"/>
        </w:rPr>
        <w:t>Ahunwan</w:t>
      </w:r>
      <w:proofErr w:type="spellEnd"/>
      <w:r>
        <w:rPr>
          <w:sz w:val="18"/>
          <w:szCs w:val="18"/>
        </w:rPr>
        <w:t xml:space="preserve"> B., "Corporate Governance in Nigeria" (2002) 37 Journal of Business Ethics 269, 278.</w:t>
      </w:r>
    </w:p>
  </w:footnote>
  <w:footnote w:id="387">
    <w:p w14:paraId="314CABA0" w14:textId="77777777" w:rsidR="00353F2F" w:rsidRDefault="00353F2F" w:rsidP="00353F2F">
      <w:pPr>
        <w:spacing w:before="60" w:after="60"/>
      </w:pPr>
      <w:r>
        <w:rPr>
          <w:rStyle w:val="FootnoteReference"/>
        </w:rPr>
        <w:footnoteRef/>
      </w:r>
      <w:r>
        <w:rPr>
          <w:sz w:val="18"/>
          <w:szCs w:val="18"/>
        </w:rPr>
        <w:t>Corruption Practices and Other Related Offences Act 2000, s 12.</w:t>
      </w:r>
    </w:p>
  </w:footnote>
  <w:footnote w:id="388">
    <w:p w14:paraId="6560F7C2" w14:textId="77777777" w:rsidR="00353F2F" w:rsidRDefault="00353F2F" w:rsidP="00353F2F">
      <w:pPr>
        <w:spacing w:before="60" w:after="60"/>
      </w:pPr>
      <w:r>
        <w:rPr>
          <w:rStyle w:val="FootnoteReference"/>
        </w:rPr>
        <w:footnoteRef/>
      </w:r>
      <w:r>
        <w:rPr>
          <w:sz w:val="18"/>
          <w:szCs w:val="18"/>
        </w:rPr>
        <w:t>Transparency International, Corruption Perceptions Index 2023 (Transparency International, 2024) 4.</w:t>
      </w:r>
    </w:p>
  </w:footnote>
  <w:footnote w:id="389">
    <w:p w14:paraId="540DB720" w14:textId="77777777" w:rsidR="00353F2F" w:rsidRDefault="00353F2F" w:rsidP="00353F2F">
      <w:pPr>
        <w:spacing w:before="60" w:after="60"/>
      </w:pPr>
      <w:r>
        <w:rPr>
          <w:rStyle w:val="FootnoteReference"/>
        </w:rPr>
        <w:footnoteRef/>
      </w:r>
      <w:r>
        <w:rPr>
          <w:sz w:val="18"/>
          <w:szCs w:val="18"/>
        </w:rPr>
        <w:t>Companies and Allied Matters Act 2020, s 861.</w:t>
      </w:r>
    </w:p>
  </w:footnote>
  <w:footnote w:id="390">
    <w:p w14:paraId="2D3724D0" w14:textId="77777777" w:rsidR="00353F2F" w:rsidRDefault="00353F2F" w:rsidP="00353F2F">
      <w:pPr>
        <w:spacing w:before="60" w:after="60"/>
      </w:pPr>
      <w:r>
        <w:rPr>
          <w:rStyle w:val="FootnoteReference"/>
        </w:rPr>
        <w:footnoteRef/>
      </w:r>
      <w:r>
        <w:rPr>
          <w:sz w:val="18"/>
          <w:szCs w:val="18"/>
        </w:rPr>
        <w:t>Ifeoma O.R., "Regulatory Compliance and Corporate Governance in the Nigerian Banking Sector" (2020) 5 International Journal of Law and Society 23, 31.</w:t>
      </w:r>
    </w:p>
  </w:footnote>
  <w:footnote w:id="391">
    <w:p w14:paraId="378BFF67" w14:textId="77777777" w:rsidR="00353F2F" w:rsidRDefault="00353F2F" w:rsidP="00353F2F">
      <w:pPr>
        <w:spacing w:before="60" w:after="60"/>
      </w:pPr>
      <w:r>
        <w:rPr>
          <w:rStyle w:val="FootnoteReference"/>
        </w:rPr>
        <w:footnoteRef/>
      </w:r>
      <w:r>
        <w:rPr>
          <w:sz w:val="18"/>
          <w:szCs w:val="18"/>
        </w:rPr>
        <w:t xml:space="preserve">Adeyemi S. and </w:t>
      </w:r>
      <w:proofErr w:type="spellStart"/>
      <w:r>
        <w:rPr>
          <w:sz w:val="18"/>
          <w:szCs w:val="18"/>
        </w:rPr>
        <w:t>Fagbemi</w:t>
      </w:r>
      <w:proofErr w:type="spellEnd"/>
      <w:r>
        <w:rPr>
          <w:sz w:val="18"/>
          <w:szCs w:val="18"/>
        </w:rPr>
        <w:t xml:space="preserve"> T., "Audit Quality, Corporate Governance and Firm Characteristics in Nigeria" (2010) 5 International Journal of Business and Management 169, 177.</w:t>
      </w:r>
    </w:p>
  </w:footnote>
  <w:footnote w:id="392">
    <w:p w14:paraId="10D1E2F8" w14:textId="77777777" w:rsidR="00353F2F" w:rsidRDefault="00353F2F" w:rsidP="00353F2F">
      <w:pPr>
        <w:spacing w:before="60" w:after="60"/>
      </w:pPr>
      <w:r>
        <w:rPr>
          <w:rStyle w:val="FootnoteReference"/>
        </w:rPr>
        <w:footnoteRef/>
      </w:r>
      <w:proofErr w:type="spellStart"/>
      <w:r>
        <w:rPr>
          <w:sz w:val="18"/>
          <w:szCs w:val="18"/>
        </w:rPr>
        <w:t>Suchman</w:t>
      </w:r>
      <w:proofErr w:type="spellEnd"/>
      <w:r>
        <w:rPr>
          <w:sz w:val="18"/>
          <w:szCs w:val="18"/>
        </w:rPr>
        <w:t xml:space="preserve"> M.C., "Managing Legitimacy: Strategic and Institutional Approaches" (1995) 20 Academy of Management Review 571, 578.</w:t>
      </w:r>
    </w:p>
  </w:footnote>
  <w:footnote w:id="393">
    <w:p w14:paraId="5EFD01AF" w14:textId="77777777" w:rsidR="00353F2F" w:rsidRDefault="00353F2F" w:rsidP="00353F2F">
      <w:pPr>
        <w:spacing w:before="60" w:after="60"/>
      </w:pPr>
      <w:r>
        <w:rPr>
          <w:rStyle w:val="FootnoteReference"/>
        </w:rPr>
        <w:footnoteRef/>
      </w:r>
      <w:r>
        <w:rPr>
          <w:sz w:val="18"/>
          <w:szCs w:val="18"/>
        </w:rPr>
        <w:t>Braithwaite J., "Enforced Self-Regulation: A New Strategy for Corporate Crime Control" (1982) 80 Michigan Law Review 1466, 1480.</w:t>
      </w:r>
    </w:p>
  </w:footnote>
  <w:footnote w:id="394">
    <w:p w14:paraId="2B367C41" w14:textId="77777777" w:rsidR="00353F2F" w:rsidRDefault="00353F2F" w:rsidP="00353F2F">
      <w:pPr>
        <w:spacing w:before="60" w:after="60"/>
      </w:pPr>
      <w:r>
        <w:rPr>
          <w:rStyle w:val="FootnoteReference"/>
        </w:rPr>
        <w:footnoteRef/>
      </w:r>
      <w:proofErr w:type="spellStart"/>
      <w:r>
        <w:rPr>
          <w:sz w:val="18"/>
          <w:szCs w:val="18"/>
        </w:rPr>
        <w:t>Okike</w:t>
      </w:r>
      <w:proofErr w:type="spellEnd"/>
      <w:r>
        <w:rPr>
          <w:sz w:val="18"/>
          <w:szCs w:val="18"/>
        </w:rPr>
        <w:t xml:space="preserve"> E.N.M. (n 1) 184.</w:t>
      </w:r>
    </w:p>
  </w:footnote>
  <w:footnote w:id="395">
    <w:p w14:paraId="64498FBF" w14:textId="77777777" w:rsidR="00353F2F" w:rsidRDefault="00353F2F" w:rsidP="00353F2F">
      <w:pPr>
        <w:spacing w:before="60" w:after="60"/>
      </w:pPr>
      <w:r>
        <w:rPr>
          <w:rStyle w:val="FootnoteReference"/>
        </w:rPr>
        <w:footnoteRef/>
      </w:r>
      <w:r>
        <w:rPr>
          <w:sz w:val="18"/>
          <w:szCs w:val="18"/>
        </w:rPr>
        <w:t>Investment and Securities Act 2007, s 13.</w:t>
      </w:r>
    </w:p>
  </w:footnote>
  <w:footnote w:id="396">
    <w:p w14:paraId="751C6CD2" w14:textId="77777777" w:rsidR="00353F2F" w:rsidRDefault="00353F2F" w:rsidP="00353F2F">
      <w:pPr>
        <w:spacing w:before="60" w:after="60"/>
      </w:pPr>
      <w:r>
        <w:rPr>
          <w:rStyle w:val="FootnoteReference"/>
        </w:rPr>
        <w:footnoteRef/>
      </w:r>
      <w:r>
        <w:rPr>
          <w:sz w:val="18"/>
          <w:szCs w:val="18"/>
        </w:rPr>
        <w:t>Wor</w:t>
      </w:r>
      <w:r w:rsidRPr="002B1A1B">
        <w:rPr>
          <w:sz w:val="18"/>
          <w:szCs w:val="18"/>
          <w:highlight w:val="yellow"/>
        </w:rPr>
        <w:t>ld Bank (n 2)</w:t>
      </w:r>
      <w:r>
        <w:rPr>
          <w:sz w:val="18"/>
          <w:szCs w:val="18"/>
        </w:rPr>
        <w:t xml:space="preserve"> 14.</w:t>
      </w:r>
    </w:p>
  </w:footnote>
  <w:footnote w:id="397">
    <w:p w14:paraId="5E87BDB5" w14:textId="77777777" w:rsidR="00353F2F" w:rsidRDefault="00353F2F" w:rsidP="00353F2F">
      <w:pPr>
        <w:spacing w:before="60" w:after="60"/>
      </w:pPr>
      <w:r>
        <w:rPr>
          <w:rStyle w:val="FootnoteReference"/>
        </w:rPr>
        <w:footnoteRef/>
      </w:r>
      <w:r>
        <w:rPr>
          <w:sz w:val="18"/>
          <w:szCs w:val="18"/>
        </w:rPr>
        <w:t>ICRC (Establishment) Act 2005, s 5.</w:t>
      </w:r>
    </w:p>
  </w:footnote>
  <w:footnote w:id="398">
    <w:p w14:paraId="1885A7B1" w14:textId="77777777" w:rsidR="00353F2F" w:rsidRDefault="00353F2F" w:rsidP="00353F2F">
      <w:pPr>
        <w:spacing w:before="60" w:after="60"/>
      </w:pPr>
      <w:r>
        <w:rPr>
          <w:rStyle w:val="FootnoteReference"/>
        </w:rPr>
        <w:footnoteRef/>
      </w:r>
      <w:r>
        <w:rPr>
          <w:sz w:val="18"/>
          <w:szCs w:val="18"/>
        </w:rPr>
        <w:t>EPSRA 2005, s 32.</w:t>
      </w:r>
    </w:p>
  </w:footnote>
  <w:footnote w:id="399">
    <w:p w14:paraId="5A7EEA18" w14:textId="77777777" w:rsidR="00353F2F" w:rsidRDefault="00353F2F" w:rsidP="00353F2F">
      <w:pPr>
        <w:spacing w:before="60" w:after="60"/>
      </w:pPr>
      <w:r>
        <w:rPr>
          <w:rStyle w:val="FootnoteReference"/>
        </w:rPr>
        <w:footnoteRef/>
      </w:r>
      <w:r>
        <w:rPr>
          <w:sz w:val="18"/>
          <w:szCs w:val="18"/>
        </w:rPr>
        <w:t>NERC, Regulations on Procurement and Bankability of Projects (2016), reg 6.</w:t>
      </w:r>
    </w:p>
  </w:footnote>
  <w:footnote w:id="400">
    <w:p w14:paraId="51E78EC8" w14:textId="77777777" w:rsidR="00353F2F" w:rsidRDefault="00353F2F" w:rsidP="00353F2F">
      <w:pPr>
        <w:spacing w:before="60" w:after="60"/>
      </w:pPr>
      <w:r>
        <w:rPr>
          <w:rStyle w:val="FootnoteReference"/>
        </w:rPr>
        <w:footnoteRef/>
      </w:r>
      <w:r>
        <w:rPr>
          <w:sz w:val="18"/>
          <w:szCs w:val="18"/>
        </w:rPr>
        <w:t>PIA 2021, s 7.</w:t>
      </w:r>
    </w:p>
  </w:footnote>
  <w:footnote w:id="401">
    <w:p w14:paraId="3B5D765C" w14:textId="77777777" w:rsidR="00353F2F" w:rsidRDefault="00353F2F" w:rsidP="00353F2F">
      <w:pPr>
        <w:spacing w:before="60" w:after="60"/>
      </w:pPr>
      <w:r>
        <w:rPr>
          <w:rStyle w:val="FootnoteReference"/>
        </w:rPr>
        <w:footnoteRef/>
      </w:r>
      <w:r>
        <w:rPr>
          <w:sz w:val="18"/>
          <w:szCs w:val="18"/>
        </w:rPr>
        <w:t>CBN Act 2007, s 42.</w:t>
      </w:r>
    </w:p>
  </w:footnote>
  <w:footnote w:id="402">
    <w:p w14:paraId="0B9269E3" w14:textId="77777777" w:rsidR="00353F2F" w:rsidRDefault="00353F2F" w:rsidP="00353F2F">
      <w:pPr>
        <w:spacing w:before="60" w:after="60"/>
      </w:pPr>
      <w:r>
        <w:rPr>
          <w:rStyle w:val="FootnoteReference"/>
        </w:rPr>
        <w:footnoteRef/>
      </w:r>
      <w:r>
        <w:rPr>
          <w:sz w:val="18"/>
          <w:szCs w:val="18"/>
        </w:rPr>
        <w:t>STMAA 2017, s 19.</w:t>
      </w:r>
    </w:p>
  </w:footnote>
  <w:footnote w:id="403">
    <w:p w14:paraId="0AF4E15D" w14:textId="77777777" w:rsidR="00353F2F" w:rsidRDefault="00353F2F" w:rsidP="00353F2F">
      <w:pPr>
        <w:spacing w:before="60" w:after="60"/>
      </w:pPr>
      <w:r>
        <w:rPr>
          <w:rStyle w:val="FootnoteReference"/>
        </w:rPr>
        <w:footnoteRef/>
      </w:r>
      <w:r>
        <w:rPr>
          <w:sz w:val="18"/>
          <w:szCs w:val="18"/>
        </w:rPr>
        <w:t>NCCG 2018, Principle 1.</w:t>
      </w:r>
    </w:p>
  </w:footnote>
  <w:footnote w:id="404">
    <w:p w14:paraId="6F767397" w14:textId="77777777" w:rsidR="00353F2F" w:rsidRDefault="00353F2F" w:rsidP="00353F2F">
      <w:pPr>
        <w:spacing w:before="60" w:after="60"/>
      </w:pPr>
      <w:r>
        <w:rPr>
          <w:rStyle w:val="FootnoteReference"/>
        </w:rPr>
        <w:footnoteRef/>
      </w:r>
      <w:r>
        <w:rPr>
          <w:sz w:val="18"/>
          <w:szCs w:val="18"/>
        </w:rPr>
        <w:t xml:space="preserve">Tony Merna and Faisal F. Al-Thani, Corporate Risk Management (2nd </w:t>
      </w:r>
      <w:proofErr w:type="spellStart"/>
      <w:r>
        <w:rPr>
          <w:sz w:val="18"/>
          <w:szCs w:val="18"/>
        </w:rPr>
        <w:t>edn</w:t>
      </w:r>
      <w:proofErr w:type="spellEnd"/>
      <w:r>
        <w:rPr>
          <w:sz w:val="18"/>
          <w:szCs w:val="18"/>
        </w:rPr>
        <w:t>, John Wiley and Sons, 2008) 102.</w:t>
      </w:r>
    </w:p>
  </w:footnote>
  <w:footnote w:id="405">
    <w:p w14:paraId="2E3D5AA6" w14:textId="77777777" w:rsidR="00353F2F" w:rsidRDefault="00353F2F" w:rsidP="00353F2F">
      <w:pPr>
        <w:spacing w:before="60" w:after="60"/>
      </w:pPr>
      <w:r>
        <w:rPr>
          <w:rStyle w:val="FootnoteReference"/>
        </w:rPr>
        <w:footnoteRef/>
      </w:r>
      <w:r>
        <w:rPr>
          <w:sz w:val="18"/>
          <w:szCs w:val="18"/>
        </w:rPr>
        <w:t xml:space="preserve">Christa </w:t>
      </w:r>
      <w:proofErr w:type="spellStart"/>
      <w:r>
        <w:rPr>
          <w:sz w:val="18"/>
          <w:szCs w:val="18"/>
        </w:rPr>
        <w:t>Hainz</w:t>
      </w:r>
      <w:proofErr w:type="spellEnd"/>
      <w:r>
        <w:rPr>
          <w:sz w:val="18"/>
          <w:szCs w:val="18"/>
        </w:rPr>
        <w:t xml:space="preserve"> and Stefanie </w:t>
      </w:r>
      <w:proofErr w:type="spellStart"/>
      <w:r>
        <w:rPr>
          <w:sz w:val="18"/>
          <w:szCs w:val="18"/>
        </w:rPr>
        <w:t>Kleimeier</w:t>
      </w:r>
      <w:proofErr w:type="spellEnd"/>
      <w:r>
        <w:rPr>
          <w:sz w:val="18"/>
          <w:szCs w:val="18"/>
        </w:rPr>
        <w:t>, "Political Risk, Project Finance, and the Participation of Development Banks in Syndicated Lending" (2012) 21 Journal of Financial Intermediation 287, 291.</w:t>
      </w:r>
    </w:p>
  </w:footnote>
  <w:footnote w:id="406">
    <w:p w14:paraId="02CB5046" w14:textId="77777777" w:rsidR="00353F2F" w:rsidRDefault="00353F2F" w:rsidP="00353F2F">
      <w:pPr>
        <w:spacing w:before="60" w:after="60"/>
      </w:pPr>
      <w:r>
        <w:rPr>
          <w:rStyle w:val="FootnoteReference"/>
        </w:rPr>
        <w:footnoteRef/>
      </w:r>
      <w:r>
        <w:rPr>
          <w:sz w:val="18"/>
          <w:szCs w:val="18"/>
        </w:rPr>
        <w:t>Multilateral Investment Guarantee Agency, World Investment and Political Risk Report (MIGA, 2020) 17.</w:t>
      </w:r>
    </w:p>
  </w:footnote>
  <w:footnote w:id="407">
    <w:p w14:paraId="4CD34939" w14:textId="77777777" w:rsidR="00353F2F" w:rsidRDefault="00353F2F" w:rsidP="00353F2F">
      <w:pPr>
        <w:spacing w:before="60" w:after="60"/>
      </w:pPr>
      <w:r>
        <w:rPr>
          <w:rStyle w:val="FootnoteReference"/>
        </w:rPr>
        <w:footnoteRef/>
      </w:r>
      <w:r>
        <w:rPr>
          <w:sz w:val="18"/>
          <w:szCs w:val="18"/>
        </w:rPr>
        <w:t>PIA 2021, s 102.</w:t>
      </w:r>
    </w:p>
  </w:footnote>
  <w:footnote w:id="408">
    <w:p w14:paraId="60ACE799" w14:textId="77777777" w:rsidR="00353F2F" w:rsidRDefault="00353F2F" w:rsidP="00353F2F">
      <w:pPr>
        <w:spacing w:before="60" w:after="60"/>
        <w:jc w:val="both"/>
      </w:pPr>
      <w:r>
        <w:rPr>
          <w:rStyle w:val="FootnoteReference"/>
        </w:rPr>
        <w:footnoteRef/>
      </w:r>
      <w:proofErr w:type="spellStart"/>
      <w:r>
        <w:rPr>
          <w:sz w:val="18"/>
          <w:szCs w:val="18"/>
        </w:rPr>
        <w:t>Kaniye</w:t>
      </w:r>
      <w:proofErr w:type="spellEnd"/>
      <w:r>
        <w:rPr>
          <w:sz w:val="18"/>
          <w:szCs w:val="18"/>
        </w:rPr>
        <w:t xml:space="preserve"> S.A., Oil and the Niger Delta People in International Law: Resource Rights, Environment and Equity (</w:t>
      </w:r>
      <w:proofErr w:type="spellStart"/>
      <w:r>
        <w:rPr>
          <w:sz w:val="18"/>
          <w:szCs w:val="18"/>
        </w:rPr>
        <w:t>Rudiger</w:t>
      </w:r>
      <w:proofErr w:type="spellEnd"/>
      <w:r>
        <w:rPr>
          <w:sz w:val="18"/>
          <w:szCs w:val="18"/>
        </w:rPr>
        <w:t xml:space="preserve"> </w:t>
      </w:r>
      <w:proofErr w:type="spellStart"/>
      <w:r>
        <w:rPr>
          <w:sz w:val="18"/>
          <w:szCs w:val="18"/>
        </w:rPr>
        <w:t>Koppe</w:t>
      </w:r>
      <w:proofErr w:type="spellEnd"/>
      <w:r>
        <w:rPr>
          <w:sz w:val="18"/>
          <w:szCs w:val="18"/>
        </w:rPr>
        <w:t xml:space="preserve"> Verlag, 2006) 131.</w:t>
      </w:r>
    </w:p>
  </w:footnote>
  <w:footnote w:id="409">
    <w:p w14:paraId="643DCBE5" w14:textId="77777777" w:rsidR="00353F2F" w:rsidRDefault="00353F2F" w:rsidP="00353F2F">
      <w:pPr>
        <w:spacing w:before="60" w:after="60"/>
      </w:pPr>
      <w:r>
        <w:rPr>
          <w:rStyle w:val="FootnoteReference"/>
        </w:rPr>
        <w:footnoteRef/>
      </w:r>
      <w:r>
        <w:rPr>
          <w:sz w:val="18"/>
          <w:szCs w:val="18"/>
        </w:rPr>
        <w:t xml:space="preserve">Revised Nigerian Foreign Exchange Market Guidelines 2024 </w:t>
      </w:r>
      <w:r w:rsidRPr="00500FED">
        <w:rPr>
          <w:sz w:val="18"/>
          <w:szCs w:val="18"/>
        </w:rPr>
        <w:t>para 3.</w:t>
      </w:r>
    </w:p>
  </w:footnote>
  <w:footnote w:id="410">
    <w:p w14:paraId="31C3FEF0" w14:textId="77777777" w:rsidR="00353F2F" w:rsidRDefault="00353F2F" w:rsidP="00353F2F">
      <w:pPr>
        <w:spacing w:before="60" w:after="60"/>
      </w:pPr>
      <w:r>
        <w:rPr>
          <w:rStyle w:val="FootnoteReference"/>
        </w:rPr>
        <w:footnoteRef/>
      </w:r>
      <w:proofErr w:type="spellStart"/>
      <w:r>
        <w:rPr>
          <w:sz w:val="18"/>
          <w:szCs w:val="18"/>
        </w:rPr>
        <w:t>Uwaifo</w:t>
      </w:r>
      <w:proofErr w:type="spellEnd"/>
      <w:r>
        <w:rPr>
          <w:sz w:val="18"/>
          <w:szCs w:val="18"/>
        </w:rPr>
        <w:t xml:space="preserve"> V.O., "The Legal Framework for Risk Management in Nigerian Project Finance" (2021) 9 ABUAD Journal of Public and International Law 34, 40.</w:t>
      </w:r>
    </w:p>
  </w:footnote>
  <w:footnote w:id="411">
    <w:p w14:paraId="4718027F" w14:textId="77777777" w:rsidR="00353F2F" w:rsidRDefault="00353F2F" w:rsidP="00353F2F">
      <w:pPr>
        <w:spacing w:before="60" w:after="60"/>
      </w:pPr>
      <w:r>
        <w:rPr>
          <w:rStyle w:val="FootnoteReference"/>
        </w:rPr>
        <w:footnoteRef/>
      </w:r>
      <w:r>
        <w:rPr>
          <w:sz w:val="18"/>
          <w:szCs w:val="18"/>
        </w:rPr>
        <w:t>Infrastructure Concession Regulatory Commission (Establishment) Act 2005, s 22.</w:t>
      </w:r>
    </w:p>
  </w:footnote>
  <w:footnote w:id="412">
    <w:p w14:paraId="7F249CA6" w14:textId="77777777" w:rsidR="00353F2F" w:rsidRDefault="00353F2F" w:rsidP="00353F2F">
      <w:pPr>
        <w:spacing w:before="60" w:after="60"/>
      </w:pPr>
      <w:r>
        <w:rPr>
          <w:rStyle w:val="FootnoteReference"/>
        </w:rPr>
        <w:footnoteRef/>
      </w:r>
      <w:r>
        <w:rPr>
          <w:sz w:val="18"/>
          <w:szCs w:val="18"/>
        </w:rPr>
        <w:t>Afolabi B., "Improving Bankability of Infrastructure Projects in Nigeria through Governance Reforms" (2017) 4 Journal of African Law 211, 217.</w:t>
      </w:r>
    </w:p>
  </w:footnote>
  <w:footnote w:id="413">
    <w:p w14:paraId="3A9A7654" w14:textId="77777777" w:rsidR="00353F2F" w:rsidRDefault="00353F2F" w:rsidP="00353F2F">
      <w:pPr>
        <w:spacing w:before="60" w:after="60"/>
      </w:pPr>
      <w:r>
        <w:rPr>
          <w:rStyle w:val="FootnoteReference"/>
        </w:rPr>
        <w:footnoteRef/>
      </w:r>
      <w:r>
        <w:rPr>
          <w:sz w:val="18"/>
          <w:szCs w:val="18"/>
        </w:rPr>
        <w:t xml:space="preserve">Jensen M.C. and </w:t>
      </w:r>
      <w:proofErr w:type="spellStart"/>
      <w:r>
        <w:rPr>
          <w:sz w:val="18"/>
          <w:szCs w:val="18"/>
        </w:rPr>
        <w:t>Meckling</w:t>
      </w:r>
      <w:proofErr w:type="spellEnd"/>
      <w:r>
        <w:rPr>
          <w:sz w:val="18"/>
          <w:szCs w:val="18"/>
        </w:rPr>
        <w:t xml:space="preserve"> W.H., "Theory of the Firm: Managerial </w:t>
      </w:r>
      <w:proofErr w:type="spellStart"/>
      <w:r>
        <w:rPr>
          <w:sz w:val="18"/>
          <w:szCs w:val="18"/>
        </w:rPr>
        <w:t>Behaviour</w:t>
      </w:r>
      <w:proofErr w:type="spellEnd"/>
      <w:r>
        <w:rPr>
          <w:sz w:val="18"/>
          <w:szCs w:val="18"/>
        </w:rPr>
        <w:t>, Agency Costs and Ownership Structure" (1976) 3 Journal of Financial Economics 305, 312.</w:t>
      </w:r>
    </w:p>
  </w:footnote>
  <w:footnote w:id="414">
    <w:p w14:paraId="52BA4F41" w14:textId="77777777" w:rsidR="00353F2F" w:rsidRDefault="00353F2F" w:rsidP="00353F2F"/>
    <w:p w14:paraId="507F492E" w14:textId="77777777" w:rsidR="00353F2F" w:rsidRDefault="00353F2F" w:rsidP="00353F2F"/>
  </w:footnote>
  <w:footnote w:id="415">
    <w:p w14:paraId="3E273803" w14:textId="77777777" w:rsidR="00353F2F" w:rsidRDefault="00353F2F" w:rsidP="00353F2F">
      <w:pPr>
        <w:spacing w:before="60" w:after="60"/>
      </w:pPr>
      <w:r>
        <w:rPr>
          <w:rStyle w:val="FootnoteReference"/>
        </w:rPr>
        <w:footnoteRef/>
      </w:r>
      <w:r>
        <w:rPr>
          <w:sz w:val="18"/>
          <w:szCs w:val="18"/>
        </w:rPr>
        <w:t xml:space="preserve">Shleifer A. and </w:t>
      </w:r>
      <w:proofErr w:type="spellStart"/>
      <w:r>
        <w:rPr>
          <w:sz w:val="18"/>
          <w:szCs w:val="18"/>
        </w:rPr>
        <w:t>Vishny</w:t>
      </w:r>
      <w:proofErr w:type="spellEnd"/>
      <w:r>
        <w:rPr>
          <w:sz w:val="18"/>
          <w:szCs w:val="18"/>
        </w:rPr>
        <w:t xml:space="preserve"> R.W., "A Survey of Corporate Governance" (1997) 52 Journal of Finance 737, 745.</w:t>
      </w:r>
    </w:p>
  </w:footnote>
  <w:footnote w:id="416">
    <w:p w14:paraId="019C9DD1" w14:textId="77777777" w:rsidR="00353F2F" w:rsidRDefault="00353F2F" w:rsidP="00353F2F">
      <w:pPr>
        <w:spacing w:before="60" w:after="60"/>
      </w:pPr>
      <w:r>
        <w:rPr>
          <w:rStyle w:val="FootnoteReference"/>
        </w:rPr>
        <w:footnoteRef/>
      </w:r>
      <w:r>
        <w:rPr>
          <w:sz w:val="18"/>
          <w:szCs w:val="18"/>
        </w:rPr>
        <w:t>Ibid 753.</w:t>
      </w:r>
    </w:p>
  </w:footnote>
  <w:footnote w:id="417">
    <w:p w14:paraId="705EFC6B" w14:textId="77777777" w:rsidR="00353F2F" w:rsidRDefault="00353F2F" w:rsidP="00353F2F">
      <w:pPr>
        <w:spacing w:before="60" w:after="60"/>
      </w:pPr>
      <w:r>
        <w:rPr>
          <w:rStyle w:val="FootnoteReference"/>
        </w:rPr>
        <w:footnoteRef/>
      </w:r>
      <w:r>
        <w:rPr>
          <w:sz w:val="18"/>
          <w:szCs w:val="18"/>
        </w:rPr>
        <w:t>CAMA 2020, ss 265–280.</w:t>
      </w:r>
    </w:p>
  </w:footnote>
  <w:footnote w:id="418">
    <w:p w14:paraId="07067622" w14:textId="77777777" w:rsidR="00353F2F" w:rsidRDefault="00353F2F" w:rsidP="00353F2F">
      <w:pPr>
        <w:spacing w:before="60" w:after="60"/>
      </w:pPr>
      <w:r>
        <w:rPr>
          <w:rStyle w:val="FootnoteReference"/>
        </w:rPr>
        <w:footnoteRef/>
      </w:r>
      <w:r>
        <w:rPr>
          <w:sz w:val="18"/>
          <w:szCs w:val="18"/>
        </w:rPr>
        <w:t>Ibid s 271.</w:t>
      </w:r>
    </w:p>
  </w:footnote>
  <w:footnote w:id="419">
    <w:p w14:paraId="1DEEAC87" w14:textId="77777777" w:rsidR="00353F2F" w:rsidRDefault="00353F2F" w:rsidP="00353F2F">
      <w:pPr>
        <w:spacing w:before="60" w:after="60"/>
      </w:pPr>
      <w:r>
        <w:rPr>
          <w:rStyle w:val="FootnoteReference"/>
        </w:rPr>
        <w:footnoteRef/>
      </w:r>
      <w:r>
        <w:rPr>
          <w:sz w:val="18"/>
          <w:szCs w:val="18"/>
        </w:rPr>
        <w:t xml:space="preserve">Eugene F. </w:t>
      </w:r>
      <w:proofErr w:type="spellStart"/>
      <w:r>
        <w:rPr>
          <w:sz w:val="18"/>
          <w:szCs w:val="18"/>
        </w:rPr>
        <w:t>Fama</w:t>
      </w:r>
      <w:proofErr w:type="spellEnd"/>
      <w:r>
        <w:rPr>
          <w:sz w:val="18"/>
          <w:szCs w:val="18"/>
        </w:rPr>
        <w:t xml:space="preserve"> and Michael C. Jensen, "Separation of Ownership and Control" (1983) 26 Journal of Law and Economics 301, 307.</w:t>
      </w:r>
    </w:p>
  </w:footnote>
  <w:footnote w:id="420">
    <w:p w14:paraId="685D7708" w14:textId="77777777" w:rsidR="00353F2F" w:rsidRDefault="00353F2F" w:rsidP="00353F2F">
      <w:pPr>
        <w:spacing w:before="60" w:after="60"/>
      </w:pPr>
      <w:r>
        <w:rPr>
          <w:rStyle w:val="FootnoteReference"/>
        </w:rPr>
        <w:footnoteRef/>
      </w:r>
      <w:r>
        <w:rPr>
          <w:sz w:val="20"/>
          <w:szCs w:val="20"/>
        </w:rPr>
        <w:t xml:space="preserve">Robert A.G. </w:t>
      </w:r>
      <w:r w:rsidRPr="005C4B3E">
        <w:rPr>
          <w:sz w:val="20"/>
          <w:szCs w:val="20"/>
        </w:rPr>
        <w:t xml:space="preserve">Monks and </w:t>
      </w:r>
      <w:r>
        <w:rPr>
          <w:sz w:val="20"/>
          <w:szCs w:val="20"/>
        </w:rPr>
        <w:t xml:space="preserve">Nell </w:t>
      </w:r>
      <w:proofErr w:type="spellStart"/>
      <w:r w:rsidRPr="005C4B3E">
        <w:rPr>
          <w:sz w:val="20"/>
          <w:szCs w:val="20"/>
        </w:rPr>
        <w:t>Minow</w:t>
      </w:r>
      <w:proofErr w:type="spellEnd"/>
      <w:r w:rsidRPr="005C4B3E">
        <w:rPr>
          <w:sz w:val="20"/>
          <w:szCs w:val="20"/>
        </w:rPr>
        <w:t>, (</w:t>
      </w:r>
      <w:r>
        <w:rPr>
          <w:sz w:val="20"/>
          <w:szCs w:val="20"/>
        </w:rPr>
        <w:t>n 15</w:t>
      </w:r>
      <w:r w:rsidRPr="005C4B3E">
        <w:rPr>
          <w:sz w:val="20"/>
          <w:szCs w:val="20"/>
        </w:rPr>
        <w:t>)</w:t>
      </w:r>
      <w:r>
        <w:rPr>
          <w:sz w:val="18"/>
          <w:szCs w:val="18"/>
        </w:rPr>
        <w:t xml:space="preserve"> 206.</w:t>
      </w:r>
    </w:p>
  </w:footnote>
  <w:footnote w:id="421">
    <w:p w14:paraId="64AC4C64" w14:textId="77777777" w:rsidR="00353F2F" w:rsidRDefault="00353F2F" w:rsidP="00353F2F">
      <w:pPr>
        <w:spacing w:before="60" w:after="60"/>
      </w:pPr>
      <w:r>
        <w:rPr>
          <w:rStyle w:val="FootnoteReference"/>
        </w:rPr>
        <w:footnoteRef/>
      </w:r>
      <w:r>
        <w:rPr>
          <w:sz w:val="18"/>
          <w:szCs w:val="18"/>
        </w:rPr>
        <w:t>BOFIA 2020, s 44.</w:t>
      </w:r>
    </w:p>
  </w:footnote>
  <w:footnote w:id="422">
    <w:p w14:paraId="40FB740A" w14:textId="77777777" w:rsidR="00353F2F" w:rsidRDefault="00353F2F" w:rsidP="00353F2F">
      <w:pPr>
        <w:spacing w:before="60" w:after="60"/>
      </w:pPr>
      <w:r>
        <w:rPr>
          <w:rStyle w:val="FootnoteReference"/>
        </w:rPr>
        <w:footnoteRef/>
      </w:r>
      <w:r>
        <w:rPr>
          <w:sz w:val="18"/>
          <w:szCs w:val="18"/>
        </w:rPr>
        <w:t>MLA 2022, s 6.</w:t>
      </w:r>
    </w:p>
  </w:footnote>
  <w:footnote w:id="423">
    <w:p w14:paraId="099F8A10" w14:textId="77777777" w:rsidR="00353F2F" w:rsidRDefault="00353F2F" w:rsidP="00353F2F">
      <w:pPr>
        <w:spacing w:before="60" w:after="60"/>
      </w:pPr>
      <w:r>
        <w:rPr>
          <w:rStyle w:val="FootnoteReference"/>
        </w:rPr>
        <w:footnoteRef/>
      </w:r>
      <w:r>
        <w:rPr>
          <w:sz w:val="18"/>
          <w:szCs w:val="18"/>
        </w:rPr>
        <w:t>Okafor R.G. (n 3) 86.</w:t>
      </w:r>
    </w:p>
  </w:footnote>
  <w:footnote w:id="424">
    <w:p w14:paraId="488046E7" w14:textId="77777777" w:rsidR="00353F2F" w:rsidRDefault="00353F2F" w:rsidP="00353F2F">
      <w:pPr>
        <w:spacing w:before="60" w:after="60"/>
      </w:pPr>
      <w:r>
        <w:rPr>
          <w:rStyle w:val="FootnoteReference"/>
        </w:rPr>
        <w:footnoteRef/>
      </w:r>
      <w:r>
        <w:rPr>
          <w:sz w:val="18"/>
          <w:szCs w:val="18"/>
        </w:rPr>
        <w:t>Ibid 89.</w:t>
      </w:r>
    </w:p>
  </w:footnote>
  <w:footnote w:id="425">
    <w:p w14:paraId="7C2CE381" w14:textId="77777777" w:rsidR="00353F2F" w:rsidRDefault="00353F2F" w:rsidP="00353F2F">
      <w:pPr>
        <w:spacing w:before="60" w:after="60"/>
      </w:pPr>
      <w:r>
        <w:rPr>
          <w:rStyle w:val="FootnoteReference"/>
        </w:rPr>
        <w:footnoteRef/>
      </w:r>
      <w:proofErr w:type="spellStart"/>
      <w:r>
        <w:rPr>
          <w:sz w:val="18"/>
          <w:szCs w:val="18"/>
        </w:rPr>
        <w:t>Yescombe</w:t>
      </w:r>
      <w:proofErr w:type="spellEnd"/>
      <w:r>
        <w:rPr>
          <w:sz w:val="18"/>
          <w:szCs w:val="18"/>
        </w:rPr>
        <w:t xml:space="preserve"> E.R., Principles of Project Finance (2nd </w:t>
      </w:r>
      <w:proofErr w:type="spellStart"/>
      <w:r>
        <w:rPr>
          <w:sz w:val="18"/>
          <w:szCs w:val="18"/>
        </w:rPr>
        <w:t>edn</w:t>
      </w:r>
      <w:proofErr w:type="spellEnd"/>
      <w:r>
        <w:rPr>
          <w:sz w:val="18"/>
          <w:szCs w:val="18"/>
        </w:rPr>
        <w:t>, Academic Press, 2014) 38.</w:t>
      </w:r>
    </w:p>
  </w:footnote>
  <w:footnote w:id="426">
    <w:p w14:paraId="6120D907" w14:textId="77777777" w:rsidR="00353F2F" w:rsidRDefault="00353F2F" w:rsidP="00353F2F">
      <w:pPr>
        <w:spacing w:before="60" w:after="60"/>
      </w:pPr>
      <w:r>
        <w:rPr>
          <w:rStyle w:val="FootnoteReference"/>
        </w:rPr>
        <w:footnoteRef/>
      </w:r>
      <w:proofErr w:type="spellStart"/>
      <w:r>
        <w:rPr>
          <w:sz w:val="18"/>
          <w:szCs w:val="18"/>
        </w:rPr>
        <w:t>Gatti</w:t>
      </w:r>
      <w:proofErr w:type="spellEnd"/>
      <w:r>
        <w:rPr>
          <w:sz w:val="18"/>
          <w:szCs w:val="18"/>
        </w:rPr>
        <w:t xml:space="preserve"> S., Project Finance in Theory and Practice (2nd </w:t>
      </w:r>
      <w:proofErr w:type="spellStart"/>
      <w:r>
        <w:rPr>
          <w:sz w:val="18"/>
          <w:szCs w:val="18"/>
        </w:rPr>
        <w:t>edn</w:t>
      </w:r>
      <w:proofErr w:type="spellEnd"/>
      <w:r>
        <w:rPr>
          <w:sz w:val="18"/>
          <w:szCs w:val="18"/>
        </w:rPr>
        <w:t>, Academic Press, 2013) 44.</w:t>
      </w:r>
    </w:p>
  </w:footnote>
  <w:footnote w:id="427">
    <w:p w14:paraId="4432C379" w14:textId="77777777" w:rsidR="00353F2F" w:rsidRDefault="00353F2F" w:rsidP="00353F2F">
      <w:pPr>
        <w:spacing w:before="60" w:after="60"/>
      </w:pPr>
      <w:r>
        <w:rPr>
          <w:rStyle w:val="FootnoteReference"/>
        </w:rPr>
        <w:footnoteRef/>
      </w:r>
      <w:r>
        <w:rPr>
          <w:sz w:val="18"/>
          <w:szCs w:val="18"/>
        </w:rPr>
        <w:t>Esty B.C. and Megginson W.L., "Creditor Rights, Enforcement, and Debt Ownership Structure: Evidence from the Global Syndicated Loan Market" (2003) 38 Journal of Financial and Quantitative Analysis 37, 48.</w:t>
      </w:r>
    </w:p>
  </w:footnote>
  <w:footnote w:id="428">
    <w:p w14:paraId="6A81E24E" w14:textId="77777777" w:rsidR="00353F2F" w:rsidRDefault="00353F2F" w:rsidP="00353F2F">
      <w:pPr>
        <w:spacing w:before="60" w:after="60"/>
      </w:pPr>
      <w:r>
        <w:rPr>
          <w:rStyle w:val="FootnoteReference"/>
        </w:rPr>
        <w:footnoteRef/>
      </w:r>
      <w:r>
        <w:rPr>
          <w:sz w:val="18"/>
          <w:szCs w:val="18"/>
        </w:rPr>
        <w:t>Nwoye C. (n 25) 67.</w:t>
      </w:r>
    </w:p>
  </w:footnote>
  <w:footnote w:id="429">
    <w:p w14:paraId="13D3B304" w14:textId="77777777" w:rsidR="00353F2F" w:rsidRDefault="00353F2F" w:rsidP="00353F2F">
      <w:pPr>
        <w:spacing w:before="60" w:after="60"/>
      </w:pPr>
      <w:r>
        <w:rPr>
          <w:rStyle w:val="FootnoteReference"/>
        </w:rPr>
        <w:footnoteRef/>
      </w:r>
      <w:r>
        <w:rPr>
          <w:sz w:val="18"/>
          <w:szCs w:val="18"/>
        </w:rPr>
        <w:t>Basel Committee on Banking Supervision, Compliance and the Compliance Function in Banks (Bank for International Settlements, 2005) 9.</w:t>
      </w:r>
    </w:p>
  </w:footnote>
  <w:footnote w:id="430">
    <w:p w14:paraId="3B874A6A" w14:textId="77777777" w:rsidR="00353F2F" w:rsidRDefault="00353F2F" w:rsidP="00353F2F">
      <w:pPr>
        <w:spacing w:before="60" w:after="60"/>
      </w:pPr>
      <w:r>
        <w:rPr>
          <w:rStyle w:val="FootnoteReference"/>
        </w:rPr>
        <w:footnoteRef/>
      </w:r>
      <w:r>
        <w:rPr>
          <w:sz w:val="18"/>
          <w:szCs w:val="18"/>
        </w:rPr>
        <w:t>Central Bank of Nigeria, Risk-Based Supervision Framework (CBN, 2006) para 4.2.</w:t>
      </w:r>
    </w:p>
  </w:footnote>
  <w:footnote w:id="431">
    <w:p w14:paraId="503E938E" w14:textId="77777777" w:rsidR="00353F2F" w:rsidRDefault="00353F2F" w:rsidP="00353F2F">
      <w:pPr>
        <w:spacing w:before="60" w:after="60"/>
      </w:pPr>
      <w:r>
        <w:rPr>
          <w:rStyle w:val="FootnoteReference"/>
        </w:rPr>
        <w:footnoteRef/>
      </w:r>
      <w:r>
        <w:rPr>
          <w:sz w:val="18"/>
          <w:szCs w:val="18"/>
        </w:rPr>
        <w:t>African Development Bank, "Infrastructure Finance in Africa: Addressing Bankability Constraints" (AfDB, 2018) 21 &lt;https://www.afdb.org/en/documents&gt; accessed 14 January 2025.</w:t>
      </w:r>
    </w:p>
  </w:footnote>
  <w:footnote w:id="432">
    <w:p w14:paraId="0BAFA0A1" w14:textId="77777777" w:rsidR="00353F2F" w:rsidRDefault="00353F2F" w:rsidP="00353F2F">
      <w:pPr>
        <w:spacing w:before="60" w:after="60"/>
      </w:pPr>
      <w:r>
        <w:rPr>
          <w:rStyle w:val="FootnoteReference"/>
        </w:rPr>
        <w:footnoteRef/>
      </w:r>
      <w:r>
        <w:rPr>
          <w:sz w:val="18"/>
          <w:szCs w:val="18"/>
        </w:rPr>
        <w:t>Afolabi B. (n 47) 222.</w:t>
      </w:r>
    </w:p>
  </w:footnote>
  <w:footnote w:id="433">
    <w:p w14:paraId="6BB2057F" w14:textId="77777777" w:rsidR="00353F2F" w:rsidRDefault="00353F2F" w:rsidP="00353F2F">
      <w:pPr>
        <w:spacing w:before="60" w:after="60"/>
      </w:pPr>
      <w:r>
        <w:rPr>
          <w:rStyle w:val="FootnoteReference"/>
        </w:rPr>
        <w:footnoteRef/>
      </w:r>
      <w:r>
        <w:rPr>
          <w:sz w:val="18"/>
          <w:szCs w:val="18"/>
        </w:rPr>
        <w:t>Cadbury Committee Report, "Report of the Committee on the Financial Aspects of Corporate Governance" (Gee Publishing, 1992) 15.</w:t>
      </w:r>
    </w:p>
  </w:footnote>
  <w:footnote w:id="434">
    <w:p w14:paraId="2789BE24" w14:textId="77777777" w:rsidR="00353F2F" w:rsidRDefault="00353F2F" w:rsidP="00353F2F">
      <w:pPr>
        <w:spacing w:before="60" w:after="60"/>
      </w:pPr>
      <w:r>
        <w:rPr>
          <w:rStyle w:val="FootnoteReference"/>
        </w:rPr>
        <w:footnoteRef/>
      </w:r>
      <w:proofErr w:type="spellStart"/>
      <w:r>
        <w:rPr>
          <w:sz w:val="18"/>
          <w:szCs w:val="18"/>
        </w:rPr>
        <w:t>Organisation</w:t>
      </w:r>
      <w:proofErr w:type="spellEnd"/>
      <w:r>
        <w:rPr>
          <w:sz w:val="18"/>
          <w:szCs w:val="18"/>
        </w:rPr>
        <w:t xml:space="preserve"> for Economic Co-operation and Development, OECD Principles of Corporate Governance (OECD Publishing, 2004) 17.</w:t>
      </w:r>
    </w:p>
  </w:footnote>
  <w:footnote w:id="435">
    <w:p w14:paraId="6A503F38" w14:textId="77777777" w:rsidR="00353F2F" w:rsidRDefault="00353F2F" w:rsidP="00353F2F">
      <w:pPr>
        <w:spacing w:before="60" w:after="60"/>
      </w:pPr>
      <w:r>
        <w:rPr>
          <w:rStyle w:val="FootnoteReference"/>
        </w:rPr>
        <w:footnoteRef/>
      </w:r>
      <w:r>
        <w:rPr>
          <w:sz w:val="18"/>
          <w:szCs w:val="18"/>
        </w:rPr>
        <w:t>Ibid 24.</w:t>
      </w:r>
    </w:p>
  </w:footnote>
  <w:footnote w:id="436">
    <w:p w14:paraId="239646E0" w14:textId="77777777" w:rsidR="00353F2F" w:rsidRDefault="00353F2F" w:rsidP="00353F2F">
      <w:pPr>
        <w:spacing w:before="60" w:after="60"/>
      </w:pPr>
      <w:r>
        <w:rPr>
          <w:rStyle w:val="FootnoteReference"/>
        </w:rPr>
        <w:footnoteRef/>
      </w:r>
      <w:r>
        <w:rPr>
          <w:sz w:val="18"/>
          <w:szCs w:val="18"/>
        </w:rPr>
        <w:t>Financial Reporting Council of Nigeria, Nigerian Code of Corporate Governance (FRCN, 2018) Principle 3.</w:t>
      </w:r>
    </w:p>
  </w:footnote>
  <w:footnote w:id="437">
    <w:p w14:paraId="5729B8B2" w14:textId="77777777" w:rsidR="00353F2F" w:rsidRDefault="00353F2F" w:rsidP="00353F2F">
      <w:pPr>
        <w:spacing w:before="60" w:after="60"/>
      </w:pPr>
      <w:r>
        <w:rPr>
          <w:rStyle w:val="FootnoteReference"/>
        </w:rPr>
        <w:footnoteRef/>
      </w:r>
      <w:r>
        <w:rPr>
          <w:sz w:val="18"/>
          <w:szCs w:val="18"/>
        </w:rPr>
        <w:t xml:space="preserve">Davis J.H., </w:t>
      </w:r>
      <w:proofErr w:type="spellStart"/>
      <w:r>
        <w:rPr>
          <w:sz w:val="18"/>
          <w:szCs w:val="18"/>
        </w:rPr>
        <w:t>Schoorman</w:t>
      </w:r>
      <w:proofErr w:type="spellEnd"/>
      <w:r>
        <w:rPr>
          <w:sz w:val="18"/>
          <w:szCs w:val="18"/>
        </w:rPr>
        <w:t xml:space="preserve"> F.D. and Donaldson L., "Toward a Stewardship Theory of Management" (1997) 22 Academy of Management Review 20, 24.</w:t>
      </w:r>
    </w:p>
  </w:footnote>
  <w:footnote w:id="438">
    <w:p w14:paraId="769F5CC7" w14:textId="77777777" w:rsidR="00353F2F" w:rsidRDefault="00353F2F" w:rsidP="00353F2F"/>
    <w:p w14:paraId="5AB72F82" w14:textId="77777777" w:rsidR="00353F2F" w:rsidRDefault="00353F2F" w:rsidP="00353F2F"/>
  </w:footnote>
  <w:footnote w:id="439">
    <w:p w14:paraId="40A679C0" w14:textId="77777777" w:rsidR="00353F2F" w:rsidRDefault="00353F2F" w:rsidP="00353F2F">
      <w:pPr>
        <w:spacing w:before="60" w:after="60"/>
      </w:pPr>
      <w:r>
        <w:rPr>
          <w:rStyle w:val="FootnoteReference"/>
        </w:rPr>
        <w:footnoteRef/>
      </w:r>
      <w:r>
        <w:rPr>
          <w:sz w:val="18"/>
          <w:szCs w:val="18"/>
        </w:rPr>
        <w:t>Turnbull Committee, Internal Control: Guidance for Directors on the Combined Code (ICAEW, 1999) para 14.</w:t>
      </w:r>
    </w:p>
  </w:footnote>
  <w:footnote w:id="440">
    <w:p w14:paraId="4D998754" w14:textId="77777777" w:rsidR="00353F2F" w:rsidRDefault="00353F2F" w:rsidP="00353F2F"/>
    <w:p w14:paraId="15E96D6C" w14:textId="77777777" w:rsidR="00353F2F" w:rsidRDefault="00353F2F" w:rsidP="00353F2F"/>
  </w:footnote>
  <w:footnote w:id="441">
    <w:p w14:paraId="37177BC9" w14:textId="77777777" w:rsidR="00353F2F" w:rsidRDefault="00353F2F" w:rsidP="00353F2F"/>
    <w:p w14:paraId="1AF4A6AA" w14:textId="77777777" w:rsidR="00353F2F" w:rsidRDefault="00353F2F" w:rsidP="00353F2F"/>
  </w:footnote>
  <w:footnote w:id="442">
    <w:p w14:paraId="36AA76AA" w14:textId="77777777" w:rsidR="00353F2F" w:rsidRDefault="00353F2F" w:rsidP="00353F2F"/>
    <w:p w14:paraId="4497265C" w14:textId="77777777" w:rsidR="00353F2F" w:rsidRDefault="00353F2F" w:rsidP="00353F2F"/>
  </w:footnote>
  <w:footnote w:id="443">
    <w:p w14:paraId="75A75FA6" w14:textId="77777777" w:rsidR="00353F2F" w:rsidRDefault="00353F2F" w:rsidP="00353F2F">
      <w:pPr>
        <w:spacing w:before="60" w:after="60"/>
      </w:pPr>
      <w:r>
        <w:rPr>
          <w:rStyle w:val="FootnoteReference"/>
        </w:rPr>
        <w:footnoteRef/>
      </w:r>
      <w:r>
        <w:rPr>
          <w:sz w:val="18"/>
          <w:szCs w:val="18"/>
        </w:rPr>
        <w:t>Companies and Allied Matters Act 2020, s 405.</w:t>
      </w:r>
    </w:p>
  </w:footnote>
  <w:footnote w:id="444">
    <w:p w14:paraId="310D6768" w14:textId="77777777" w:rsidR="00353F2F" w:rsidRDefault="00353F2F" w:rsidP="00353F2F">
      <w:pPr>
        <w:spacing w:before="60" w:after="60"/>
      </w:pPr>
      <w:r>
        <w:rPr>
          <w:rStyle w:val="FootnoteReference"/>
        </w:rPr>
        <w:footnoteRef/>
      </w:r>
      <w:r>
        <w:rPr>
          <w:sz w:val="18"/>
          <w:szCs w:val="18"/>
        </w:rPr>
        <w:t>Ibid s 307.</w:t>
      </w:r>
    </w:p>
  </w:footnote>
  <w:footnote w:id="445">
    <w:p w14:paraId="6A44BD3F" w14:textId="77777777" w:rsidR="00353F2F" w:rsidRDefault="00353F2F" w:rsidP="00353F2F">
      <w:pPr>
        <w:spacing w:before="60" w:after="60"/>
      </w:pPr>
      <w:r>
        <w:rPr>
          <w:rStyle w:val="FootnoteReference"/>
        </w:rPr>
        <w:footnoteRef/>
      </w:r>
      <w:r>
        <w:rPr>
          <w:sz w:val="18"/>
          <w:szCs w:val="18"/>
        </w:rPr>
        <w:t>Central Bank of Nigeria, Code of Corporate Governance for Banks and Discount Houses in Nigeria (CBN, 2014) para 3.2.</w:t>
      </w:r>
    </w:p>
  </w:footnote>
  <w:footnote w:id="446">
    <w:p w14:paraId="6A1D0A21" w14:textId="77777777" w:rsidR="00353F2F" w:rsidRDefault="00353F2F" w:rsidP="00353F2F">
      <w:pPr>
        <w:spacing w:before="60" w:after="60"/>
      </w:pPr>
      <w:r>
        <w:rPr>
          <w:rStyle w:val="FootnoteReference"/>
        </w:rPr>
        <w:footnoteRef/>
      </w:r>
      <w:r>
        <w:rPr>
          <w:sz w:val="18"/>
          <w:szCs w:val="18"/>
        </w:rPr>
        <w:t>Basel Committee on Banking Supervision (n 74) 12.</w:t>
      </w:r>
    </w:p>
  </w:footnote>
  <w:footnote w:id="447">
    <w:p w14:paraId="771A7192" w14:textId="77777777" w:rsidR="00353F2F" w:rsidRDefault="00353F2F" w:rsidP="00353F2F">
      <w:pPr>
        <w:spacing w:before="60" w:after="60"/>
      </w:pPr>
      <w:r>
        <w:rPr>
          <w:rStyle w:val="FootnoteReference"/>
        </w:rPr>
        <w:footnoteRef/>
      </w:r>
      <w:r>
        <w:rPr>
          <w:sz w:val="18"/>
          <w:szCs w:val="18"/>
        </w:rPr>
        <w:t xml:space="preserve">Hoffman S.L., The Law and Business of International Project Finance (3rd </w:t>
      </w:r>
      <w:proofErr w:type="spellStart"/>
      <w:r>
        <w:rPr>
          <w:sz w:val="18"/>
          <w:szCs w:val="18"/>
        </w:rPr>
        <w:t>edn</w:t>
      </w:r>
      <w:proofErr w:type="spellEnd"/>
      <w:r>
        <w:rPr>
          <w:sz w:val="18"/>
          <w:szCs w:val="18"/>
        </w:rPr>
        <w:t>, Cambridge University Press, 2008) 122.</w:t>
      </w:r>
    </w:p>
  </w:footnote>
  <w:footnote w:id="448">
    <w:p w14:paraId="4C83E939" w14:textId="77777777" w:rsidR="00353F2F" w:rsidRDefault="00353F2F" w:rsidP="00353F2F">
      <w:pPr>
        <w:spacing w:before="60" w:after="60"/>
      </w:pPr>
      <w:r>
        <w:rPr>
          <w:rStyle w:val="FootnoteReference"/>
        </w:rPr>
        <w:footnoteRef/>
      </w:r>
      <w:r>
        <w:rPr>
          <w:sz w:val="18"/>
          <w:szCs w:val="18"/>
        </w:rPr>
        <w:t>Ibid 142.</w:t>
      </w:r>
    </w:p>
  </w:footnote>
  <w:footnote w:id="449">
    <w:p w14:paraId="7B96FADB" w14:textId="77777777" w:rsidR="00353F2F" w:rsidRDefault="00353F2F" w:rsidP="00353F2F">
      <w:pPr>
        <w:spacing w:before="60" w:after="60"/>
      </w:pPr>
      <w:r>
        <w:rPr>
          <w:rStyle w:val="FootnoteReference"/>
        </w:rPr>
        <w:footnoteRef/>
      </w:r>
      <w:r>
        <w:rPr>
          <w:sz w:val="18"/>
          <w:szCs w:val="18"/>
        </w:rPr>
        <w:t>Nigeria Sovereign Investment Authority (Establishment etc.) Act 2011, s 4.</w:t>
      </w:r>
    </w:p>
  </w:footnote>
  <w:footnote w:id="450">
    <w:p w14:paraId="6A22AAE0" w14:textId="77777777" w:rsidR="00353F2F" w:rsidRDefault="00353F2F" w:rsidP="00353F2F">
      <w:pPr>
        <w:spacing w:before="60" w:after="60"/>
      </w:pPr>
      <w:r>
        <w:rPr>
          <w:rStyle w:val="FootnoteReference"/>
        </w:rPr>
        <w:footnoteRef/>
      </w:r>
      <w:r>
        <w:rPr>
          <w:sz w:val="18"/>
          <w:szCs w:val="18"/>
        </w:rPr>
        <w:t>Infrastructure Concession Regulatory Commission (Establishment) Act 2005, s 18.</w:t>
      </w:r>
    </w:p>
  </w:footnote>
  <w:footnote w:id="451">
    <w:p w14:paraId="4F025560" w14:textId="77777777" w:rsidR="00353F2F" w:rsidRDefault="00353F2F" w:rsidP="00353F2F">
      <w:pPr>
        <w:spacing w:before="60" w:after="60"/>
      </w:pPr>
      <w:r>
        <w:rPr>
          <w:rStyle w:val="FootnoteReference"/>
        </w:rPr>
        <w:footnoteRef/>
      </w:r>
      <w:r>
        <w:rPr>
          <w:sz w:val="18"/>
          <w:szCs w:val="18"/>
        </w:rPr>
        <w:t>Federal Ministry of Finance, Public Private Partnership Manual for Nigeria (Infrastructure Concession Regulatory Commission, 2011) 31.</w:t>
      </w:r>
    </w:p>
  </w:footnote>
  <w:footnote w:id="452">
    <w:p w14:paraId="27922356" w14:textId="77777777" w:rsidR="00353F2F" w:rsidRDefault="00353F2F" w:rsidP="00353F2F">
      <w:pPr>
        <w:spacing w:before="60" w:after="60"/>
      </w:pPr>
      <w:r>
        <w:rPr>
          <w:rStyle w:val="FootnoteReference"/>
        </w:rPr>
        <w:footnoteRef/>
      </w:r>
      <w:r>
        <w:rPr>
          <w:sz w:val="18"/>
          <w:szCs w:val="18"/>
        </w:rPr>
        <w:t>Arbitration and Mediation Act 2023, s 17.</w:t>
      </w:r>
    </w:p>
  </w:footnote>
  <w:footnote w:id="453">
    <w:p w14:paraId="2C625D74" w14:textId="77777777" w:rsidR="00353F2F" w:rsidRDefault="00353F2F" w:rsidP="00353F2F">
      <w:pPr>
        <w:spacing w:before="60" w:after="60"/>
      </w:pPr>
      <w:r>
        <w:rPr>
          <w:rStyle w:val="FootnoteReference"/>
        </w:rPr>
        <w:footnoteRef/>
      </w:r>
      <w:r>
        <w:rPr>
          <w:sz w:val="18"/>
          <w:szCs w:val="18"/>
        </w:rPr>
        <w:t>Secured Transactions in Movable Assets Act 2017, s 10.</w:t>
      </w:r>
    </w:p>
  </w:footnote>
  <w:footnote w:id="454">
    <w:p w14:paraId="54A8025B" w14:textId="77777777" w:rsidR="00353F2F" w:rsidRDefault="00353F2F" w:rsidP="00353F2F">
      <w:pPr>
        <w:spacing w:before="60" w:after="60"/>
      </w:pPr>
      <w:r>
        <w:rPr>
          <w:rStyle w:val="FootnoteReference"/>
        </w:rPr>
        <w:footnoteRef/>
      </w:r>
      <w:r>
        <w:rPr>
          <w:sz w:val="18"/>
          <w:szCs w:val="18"/>
        </w:rPr>
        <w:t>Okonkwo U.C. (n 44) 97.</w:t>
      </w:r>
    </w:p>
  </w:footnote>
  <w:footnote w:id="455">
    <w:p w14:paraId="4C6F4762" w14:textId="77777777" w:rsidR="00353F2F" w:rsidRDefault="00353F2F" w:rsidP="00353F2F">
      <w:pPr>
        <w:spacing w:before="60" w:after="60"/>
      </w:pPr>
      <w:r>
        <w:rPr>
          <w:rStyle w:val="FootnoteReference"/>
        </w:rPr>
        <w:footnoteRef/>
      </w:r>
      <w:proofErr w:type="spellStart"/>
      <w:r>
        <w:rPr>
          <w:sz w:val="18"/>
          <w:szCs w:val="18"/>
        </w:rPr>
        <w:t>Kleimeier</w:t>
      </w:r>
      <w:proofErr w:type="spellEnd"/>
      <w:r>
        <w:rPr>
          <w:sz w:val="18"/>
          <w:szCs w:val="18"/>
        </w:rPr>
        <w:t xml:space="preserve"> S. and Versteeg R. (n 77) 162.</w:t>
      </w:r>
    </w:p>
  </w:footnote>
  <w:footnote w:id="456">
    <w:p w14:paraId="64124AC6" w14:textId="77777777" w:rsidR="00353F2F" w:rsidRDefault="00353F2F" w:rsidP="00353F2F">
      <w:pPr>
        <w:spacing w:before="60" w:after="60"/>
      </w:pPr>
      <w:r>
        <w:rPr>
          <w:rStyle w:val="FootnoteReference"/>
        </w:rPr>
        <w:footnoteRef/>
      </w:r>
      <w:r>
        <w:rPr>
          <w:sz w:val="18"/>
          <w:szCs w:val="18"/>
        </w:rPr>
        <w:t>Ehlers T. (n 45) 19.</w:t>
      </w:r>
    </w:p>
  </w:footnote>
  <w:footnote w:id="457">
    <w:p w14:paraId="2CCB7568" w14:textId="77777777" w:rsidR="00353F2F" w:rsidRDefault="00353F2F" w:rsidP="00353F2F">
      <w:pPr>
        <w:spacing w:before="60" w:after="60"/>
      </w:pPr>
      <w:r>
        <w:rPr>
          <w:rStyle w:val="FootnoteReference"/>
        </w:rPr>
        <w:footnoteRef/>
      </w:r>
      <w:r>
        <w:rPr>
          <w:sz w:val="18"/>
          <w:szCs w:val="18"/>
        </w:rPr>
        <w:t>Petroleum Industry Act 2021, s 51.</w:t>
      </w:r>
    </w:p>
  </w:footnote>
  <w:footnote w:id="458">
    <w:p w14:paraId="1463EAB4" w14:textId="77777777" w:rsidR="00353F2F" w:rsidRDefault="00353F2F" w:rsidP="00353F2F">
      <w:pPr>
        <w:spacing w:before="60" w:after="60"/>
      </w:pPr>
      <w:r>
        <w:rPr>
          <w:rStyle w:val="FootnoteReference"/>
        </w:rPr>
        <w:footnoteRef/>
      </w:r>
      <w:r>
        <w:rPr>
          <w:sz w:val="18"/>
          <w:szCs w:val="18"/>
        </w:rPr>
        <w:t>Electric Power Sector Reform Act 2005, s 62.</w:t>
      </w:r>
    </w:p>
  </w:footnote>
  <w:footnote w:id="459">
    <w:p w14:paraId="582FBFA6" w14:textId="77777777" w:rsidR="00353F2F" w:rsidRDefault="00353F2F" w:rsidP="00353F2F">
      <w:pPr>
        <w:spacing w:before="60" w:after="60"/>
      </w:pPr>
      <w:r>
        <w:rPr>
          <w:rStyle w:val="FootnoteReference"/>
        </w:rPr>
        <w:footnoteRef/>
      </w:r>
      <w:r>
        <w:rPr>
          <w:sz w:val="18"/>
          <w:szCs w:val="18"/>
        </w:rPr>
        <w:t>Nwoye C. (n 25) 69.</w:t>
      </w:r>
    </w:p>
  </w:footnote>
  <w:footnote w:id="460">
    <w:p w14:paraId="3AD82F5A" w14:textId="77777777" w:rsidR="00353F2F" w:rsidRDefault="00353F2F" w:rsidP="00353F2F">
      <w:pPr>
        <w:spacing w:before="60" w:after="60"/>
      </w:pPr>
      <w:r>
        <w:rPr>
          <w:rStyle w:val="FootnoteReference"/>
        </w:rPr>
        <w:footnoteRef/>
      </w:r>
      <w:r>
        <w:rPr>
          <w:sz w:val="18"/>
          <w:szCs w:val="18"/>
        </w:rPr>
        <w:t>Okafor R.G. (n 3) 90.</w:t>
      </w:r>
    </w:p>
  </w:footnote>
  <w:footnote w:id="461">
    <w:p w14:paraId="129D66B1" w14:textId="77777777" w:rsidR="00353F2F" w:rsidRDefault="00353F2F" w:rsidP="00353F2F">
      <w:pPr>
        <w:spacing w:before="60" w:after="60"/>
      </w:pPr>
      <w:r>
        <w:rPr>
          <w:rStyle w:val="FootnoteReference"/>
        </w:rPr>
        <w:footnoteRef/>
      </w:r>
      <w:r>
        <w:rPr>
          <w:sz w:val="18"/>
          <w:szCs w:val="18"/>
        </w:rPr>
        <w:t>North D.C. (n 5) 83.</w:t>
      </w:r>
    </w:p>
  </w:footnote>
  <w:footnote w:id="462">
    <w:p w14:paraId="3B79435B" w14:textId="77777777" w:rsidR="00353F2F" w:rsidRDefault="00353F2F" w:rsidP="00353F2F">
      <w:pPr>
        <w:spacing w:before="60" w:after="60"/>
      </w:pPr>
      <w:r>
        <w:rPr>
          <w:rStyle w:val="FootnoteReference"/>
        </w:rPr>
        <w:footnoteRef/>
      </w:r>
      <w:r>
        <w:rPr>
          <w:sz w:val="18"/>
          <w:szCs w:val="18"/>
        </w:rPr>
        <w:t>DiMaggio P.J. and Powell W.W. (n 19) 155.</w:t>
      </w:r>
    </w:p>
  </w:footnote>
  <w:footnote w:id="463">
    <w:p w14:paraId="3619D699" w14:textId="77777777" w:rsidR="00353F2F" w:rsidRDefault="00353F2F" w:rsidP="00353F2F">
      <w:pPr>
        <w:spacing w:before="60" w:after="60"/>
      </w:pPr>
      <w:r>
        <w:rPr>
          <w:rStyle w:val="FootnoteReference"/>
        </w:rPr>
        <w:footnoteRef/>
      </w:r>
      <w:r>
        <w:rPr>
          <w:sz w:val="18"/>
          <w:szCs w:val="18"/>
        </w:rPr>
        <w:t>International Finance Corporation (n 67) Preamble.</w:t>
      </w:r>
    </w:p>
  </w:footnote>
  <w:footnote w:id="464">
    <w:p w14:paraId="184A6B93" w14:textId="77777777" w:rsidR="00353F2F" w:rsidRDefault="00353F2F" w:rsidP="00353F2F">
      <w:pPr>
        <w:spacing w:before="60" w:after="60"/>
      </w:pPr>
      <w:r>
        <w:rPr>
          <w:rStyle w:val="FootnoteReference"/>
        </w:rPr>
        <w:footnoteRef/>
      </w:r>
      <w:proofErr w:type="spellStart"/>
      <w:r>
        <w:rPr>
          <w:sz w:val="18"/>
          <w:szCs w:val="18"/>
        </w:rPr>
        <w:t>Organisation</w:t>
      </w:r>
      <w:proofErr w:type="spellEnd"/>
      <w:r>
        <w:rPr>
          <w:sz w:val="18"/>
          <w:szCs w:val="18"/>
        </w:rPr>
        <w:t xml:space="preserve"> for Economic Co-operation and Development (n 80) 36.</w:t>
      </w:r>
    </w:p>
  </w:footnote>
  <w:footnote w:id="465">
    <w:p w14:paraId="7A0D9E85" w14:textId="77777777" w:rsidR="00353F2F" w:rsidRDefault="00353F2F" w:rsidP="00353F2F">
      <w:pPr>
        <w:spacing w:before="60" w:after="60"/>
      </w:pPr>
      <w:r>
        <w:rPr>
          <w:rStyle w:val="FootnoteReference"/>
        </w:rPr>
        <w:footnoteRef/>
      </w:r>
      <w:r>
        <w:rPr>
          <w:sz w:val="18"/>
          <w:szCs w:val="18"/>
        </w:rPr>
        <w:t>Esty B.C., "Why Study Large Projects? An Introduction to Research on Project Finance" (2004) 14 European Financial Management 213, 226.</w:t>
      </w:r>
    </w:p>
  </w:footnote>
  <w:footnote w:id="466">
    <w:p w14:paraId="77875664" w14:textId="77777777" w:rsidR="00353F2F" w:rsidRDefault="00353F2F" w:rsidP="00353F2F"/>
  </w:footnote>
  <w:footnote w:id="467">
    <w:p w14:paraId="1E0A20C2" w14:textId="77777777" w:rsidR="00353F2F" w:rsidRDefault="00353F2F" w:rsidP="00353F2F">
      <w:pPr>
        <w:spacing w:before="60" w:after="60"/>
      </w:pPr>
      <w:r>
        <w:rPr>
          <w:rStyle w:val="FootnoteReference"/>
        </w:rPr>
        <w:footnoteRef/>
      </w:r>
      <w:r>
        <w:rPr>
          <w:sz w:val="18"/>
          <w:szCs w:val="18"/>
        </w:rPr>
        <w:t>African Development Bank (n 76) 26.</w:t>
      </w:r>
    </w:p>
  </w:footnote>
  <w:footnote w:id="468">
    <w:p w14:paraId="059771A5" w14:textId="77777777" w:rsidR="00353F2F" w:rsidRDefault="00353F2F" w:rsidP="00353F2F">
      <w:pPr>
        <w:spacing w:before="60" w:after="60"/>
      </w:pPr>
      <w:r>
        <w:rPr>
          <w:rStyle w:val="FootnoteReference"/>
        </w:rPr>
        <w:footnoteRef/>
      </w:r>
      <w:r>
        <w:rPr>
          <w:sz w:val="18"/>
          <w:szCs w:val="18"/>
        </w:rPr>
        <w:t>Nigeria Sovereign Investment Authority (Establishment etc.) Act 2011, s 26.</w:t>
      </w:r>
    </w:p>
  </w:footnote>
  <w:footnote w:id="469">
    <w:p w14:paraId="1DEF7F24" w14:textId="77777777" w:rsidR="00353F2F" w:rsidRDefault="00353F2F" w:rsidP="00353F2F">
      <w:pPr>
        <w:spacing w:before="60" w:after="60"/>
      </w:pPr>
      <w:r>
        <w:rPr>
          <w:rStyle w:val="FootnoteReference"/>
        </w:rPr>
        <w:footnoteRef/>
      </w:r>
      <w:r>
        <w:rPr>
          <w:sz w:val="18"/>
          <w:szCs w:val="18"/>
        </w:rPr>
        <w:t>World Bank, Principles for Public-Private Partnerships (World Bank, 2017) Principle 4.</w:t>
      </w:r>
    </w:p>
  </w:footnote>
  <w:footnote w:id="470">
    <w:p w14:paraId="07ED4466" w14:textId="77777777" w:rsidR="00353F2F" w:rsidRDefault="00353F2F" w:rsidP="00353F2F">
      <w:pPr>
        <w:spacing w:before="60" w:after="60"/>
      </w:pPr>
      <w:r>
        <w:rPr>
          <w:rStyle w:val="FootnoteReference"/>
        </w:rPr>
        <w:footnoteRef/>
      </w:r>
      <w:r>
        <w:rPr>
          <w:sz w:val="18"/>
          <w:szCs w:val="18"/>
        </w:rPr>
        <w:t>Federal Ministry of Finance (n 97) 40.</w:t>
      </w:r>
    </w:p>
  </w:footnote>
  <w:footnote w:id="471">
    <w:p w14:paraId="3465B900" w14:textId="77777777" w:rsidR="00353F2F" w:rsidRDefault="00353F2F" w:rsidP="00353F2F">
      <w:pPr>
        <w:spacing w:before="60" w:after="60"/>
      </w:pPr>
      <w:r>
        <w:rPr>
          <w:rStyle w:val="FootnoteReference"/>
        </w:rPr>
        <w:footnoteRef/>
      </w:r>
      <w:r>
        <w:rPr>
          <w:sz w:val="18"/>
          <w:szCs w:val="18"/>
        </w:rPr>
        <w:t>Arbitration and Mediation Act 2023, s 55.</w:t>
      </w:r>
    </w:p>
  </w:footnote>
  <w:footnote w:id="472">
    <w:p w14:paraId="3D76F477" w14:textId="77777777" w:rsidR="00353F2F" w:rsidRDefault="00353F2F" w:rsidP="00353F2F">
      <w:pPr>
        <w:spacing w:before="60" w:after="60"/>
      </w:pPr>
      <w:r>
        <w:rPr>
          <w:rStyle w:val="FootnoteReference"/>
        </w:rPr>
        <w:footnoteRef/>
      </w:r>
      <w:proofErr w:type="spellStart"/>
      <w:r>
        <w:rPr>
          <w:sz w:val="18"/>
          <w:szCs w:val="18"/>
        </w:rPr>
        <w:t>Odigie</w:t>
      </w:r>
      <w:proofErr w:type="spellEnd"/>
      <w:r>
        <w:rPr>
          <w:sz w:val="18"/>
          <w:szCs w:val="18"/>
        </w:rPr>
        <w:t xml:space="preserve"> O. (n 27) 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23451"/>
    <w:multiLevelType w:val="hybridMultilevel"/>
    <w:tmpl w:val="60366768"/>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F33F0"/>
    <w:multiLevelType w:val="hybridMultilevel"/>
    <w:tmpl w:val="A3CE9584"/>
    <w:lvl w:ilvl="0" w:tplc="2B327B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E6F3D"/>
    <w:multiLevelType w:val="hybridMultilevel"/>
    <w:tmpl w:val="481269DE"/>
    <w:lvl w:ilvl="0" w:tplc="DEE46A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142E8"/>
    <w:multiLevelType w:val="multilevel"/>
    <w:tmpl w:val="237004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7B10E33"/>
    <w:multiLevelType w:val="hybridMultilevel"/>
    <w:tmpl w:val="65F4BC32"/>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B51"/>
    <w:rsid w:val="000B476C"/>
    <w:rsid w:val="001B3BE8"/>
    <w:rsid w:val="00265F10"/>
    <w:rsid w:val="00353F2F"/>
    <w:rsid w:val="00413381"/>
    <w:rsid w:val="005072FB"/>
    <w:rsid w:val="00547CCC"/>
    <w:rsid w:val="00630BCB"/>
    <w:rsid w:val="007E2BA7"/>
    <w:rsid w:val="00897B51"/>
    <w:rsid w:val="008B3C7B"/>
    <w:rsid w:val="00AB7F86"/>
    <w:rsid w:val="00AE21B0"/>
    <w:rsid w:val="00CD3DC0"/>
    <w:rsid w:val="00DF3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37A3"/>
  <w15:chartTrackingRefBased/>
  <w15:docId w15:val="{0FE7FC3C-AC2D-48F1-8AC8-B039D773B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7B51"/>
    <w:rPr>
      <w:kern w:val="0"/>
      <w14:ligatures w14:val="none"/>
    </w:rPr>
  </w:style>
  <w:style w:type="paragraph" w:styleId="Heading1">
    <w:name w:val="heading 1"/>
    <w:link w:val="Heading1Char"/>
    <w:uiPriority w:val="9"/>
    <w:qFormat/>
    <w:rsid w:val="00897B51"/>
    <w:pPr>
      <w:spacing w:before="360" w:after="240" w:line="240" w:lineRule="auto"/>
      <w:outlineLvl w:val="0"/>
    </w:pPr>
    <w:rPr>
      <w:rFonts w:ascii="Times New Roman" w:eastAsia="Times New Roman" w:hAnsi="Times New Roman" w:cs="Times New Roman"/>
      <w:b/>
      <w:bCs/>
      <w:color w:val="000000"/>
      <w:kern w:val="0"/>
      <w:sz w:val="28"/>
      <w:szCs w:val="28"/>
      <w14:ligatures w14:val="none"/>
    </w:rPr>
  </w:style>
  <w:style w:type="paragraph" w:styleId="Heading2">
    <w:name w:val="heading 2"/>
    <w:link w:val="Heading2Char"/>
    <w:uiPriority w:val="9"/>
    <w:unhideWhenUsed/>
    <w:qFormat/>
    <w:rsid w:val="00897B51"/>
    <w:pPr>
      <w:spacing w:before="280" w:after="200" w:line="240" w:lineRule="auto"/>
      <w:outlineLvl w:val="1"/>
    </w:pPr>
    <w:rPr>
      <w:rFonts w:ascii="Times New Roman" w:eastAsia="Times New Roman" w:hAnsi="Times New Roman" w:cs="Times New Roman"/>
      <w:b/>
      <w:bCs/>
      <w:color w:val="000000"/>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B51"/>
    <w:rPr>
      <w:rFonts w:ascii="Times New Roman" w:eastAsia="Times New Roman" w:hAnsi="Times New Roman" w:cs="Times New Roman"/>
      <w:b/>
      <w:bCs/>
      <w:color w:val="000000"/>
      <w:kern w:val="0"/>
      <w:sz w:val="28"/>
      <w:szCs w:val="28"/>
      <w14:ligatures w14:val="none"/>
    </w:rPr>
  </w:style>
  <w:style w:type="character" w:customStyle="1" w:styleId="Heading2Char">
    <w:name w:val="Heading 2 Char"/>
    <w:basedOn w:val="DefaultParagraphFont"/>
    <w:link w:val="Heading2"/>
    <w:uiPriority w:val="9"/>
    <w:rsid w:val="00897B51"/>
    <w:rPr>
      <w:rFonts w:ascii="Times New Roman" w:eastAsia="Times New Roman" w:hAnsi="Times New Roman" w:cs="Times New Roman"/>
      <w:b/>
      <w:bCs/>
      <w:color w:val="000000"/>
      <w:kern w:val="0"/>
      <w:sz w:val="26"/>
      <w:szCs w:val="26"/>
      <w14:ligatures w14:val="none"/>
    </w:rPr>
  </w:style>
  <w:style w:type="paragraph" w:styleId="ListParagraph">
    <w:name w:val="List Paragraph"/>
    <w:basedOn w:val="Normal"/>
    <w:qFormat/>
    <w:rsid w:val="00897B51"/>
    <w:pPr>
      <w:ind w:left="720"/>
      <w:contextualSpacing/>
    </w:pPr>
  </w:style>
  <w:style w:type="paragraph" w:styleId="FootnoteText">
    <w:name w:val="footnote text"/>
    <w:basedOn w:val="Normal"/>
    <w:link w:val="FootnoteTextChar"/>
    <w:uiPriority w:val="99"/>
    <w:unhideWhenUsed/>
    <w:rsid w:val="00897B51"/>
    <w:pPr>
      <w:spacing w:after="0" w:line="240" w:lineRule="auto"/>
    </w:pPr>
    <w:rPr>
      <w:sz w:val="20"/>
      <w:szCs w:val="20"/>
    </w:rPr>
  </w:style>
  <w:style w:type="character" w:customStyle="1" w:styleId="FootnoteTextChar">
    <w:name w:val="Footnote Text Char"/>
    <w:basedOn w:val="DefaultParagraphFont"/>
    <w:link w:val="FootnoteText"/>
    <w:uiPriority w:val="99"/>
    <w:rsid w:val="00897B51"/>
    <w:rPr>
      <w:kern w:val="0"/>
      <w:sz w:val="20"/>
      <w:szCs w:val="20"/>
      <w14:ligatures w14:val="none"/>
    </w:rPr>
  </w:style>
  <w:style w:type="character" w:styleId="FootnoteReference">
    <w:name w:val="footnote reference"/>
    <w:basedOn w:val="DefaultParagraphFont"/>
    <w:uiPriority w:val="99"/>
    <w:semiHidden/>
    <w:unhideWhenUsed/>
    <w:rsid w:val="00897B51"/>
    <w:rPr>
      <w:vertAlign w:val="superscript"/>
    </w:rPr>
  </w:style>
  <w:style w:type="character" w:styleId="Hyperlink">
    <w:name w:val="Hyperlink"/>
    <w:basedOn w:val="DefaultParagraphFont"/>
    <w:uiPriority w:val="99"/>
    <w:unhideWhenUsed/>
    <w:rsid w:val="00897B51"/>
    <w:rPr>
      <w:color w:val="0563C1" w:themeColor="hyperlink"/>
      <w:u w:val="single"/>
    </w:rPr>
  </w:style>
  <w:style w:type="character" w:styleId="UnresolvedMention">
    <w:name w:val="Unresolved Mention"/>
    <w:basedOn w:val="DefaultParagraphFont"/>
    <w:uiPriority w:val="99"/>
    <w:semiHidden/>
    <w:unhideWhenUsed/>
    <w:rsid w:val="00897B51"/>
    <w:rPr>
      <w:color w:val="605E5C"/>
      <w:shd w:val="clear" w:color="auto" w:fill="E1DFDD"/>
    </w:rPr>
  </w:style>
  <w:style w:type="paragraph" w:styleId="NormalWeb">
    <w:name w:val="Normal (Web)"/>
    <w:basedOn w:val="Normal"/>
    <w:uiPriority w:val="99"/>
    <w:unhideWhenUsed/>
    <w:rsid w:val="00897B5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7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B51"/>
    <w:rPr>
      <w:kern w:val="0"/>
      <w14:ligatures w14:val="none"/>
    </w:rPr>
  </w:style>
  <w:style w:type="paragraph" w:styleId="Footer">
    <w:name w:val="footer"/>
    <w:basedOn w:val="Normal"/>
    <w:link w:val="FooterChar"/>
    <w:uiPriority w:val="99"/>
    <w:unhideWhenUsed/>
    <w:rsid w:val="00897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B51"/>
    <w:rPr>
      <w:kern w:val="0"/>
      <w14:ligatures w14:val="none"/>
    </w:rPr>
  </w:style>
  <w:style w:type="character" w:styleId="Strong">
    <w:name w:val="Strong"/>
    <w:basedOn w:val="DefaultParagraphFont"/>
    <w:uiPriority w:val="22"/>
    <w:qFormat/>
    <w:rsid w:val="00897B51"/>
    <w:rPr>
      <w:b/>
      <w:bCs/>
    </w:rPr>
  </w:style>
  <w:style w:type="character" w:styleId="FollowedHyperlink">
    <w:name w:val="FollowedHyperlink"/>
    <w:basedOn w:val="DefaultParagraphFont"/>
    <w:uiPriority w:val="99"/>
    <w:semiHidden/>
    <w:unhideWhenUsed/>
    <w:rsid w:val="00897B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ssrn.com/abstract=4619057" TargetMode="External"/><Relationship Id="rId7" Type="http://schemas.openxmlformats.org/officeDocument/2006/relationships/hyperlink" Target="https://www.worldbank.org/en/topic/publicprivatepartnerships" TargetMode="External"/><Relationship Id="rId2" Type="http://schemas.openxmlformats.org/officeDocument/2006/relationships/hyperlink" Target="https://frcnigeria.gov.ng/wp-content/uploads/2025/07/MODERATING-EFFECT-OF-CORPORATE-SOCIAL-RESPONSIBILITY-DISCLOSURE-ECONOMIC-DIMENSTION-ON-BOARD-GOVERNANC.pdf?utm_" TargetMode="External"/><Relationship Id="rId1" Type="http://schemas.openxmlformats.org/officeDocument/2006/relationships/hyperlink" Target="https://ssrn.com/abstract=5890802" TargetMode="External"/><Relationship Id="rId6" Type="http://schemas.openxmlformats.org/officeDocument/2006/relationships/hyperlink" Target="https://bbejournal.com/index.php/BBE/article/download/666/569/3142" TargetMode="External"/><Relationship Id="rId5" Type="http://schemas.openxmlformats.org/officeDocument/2006/relationships/hyperlink" Target="https://knowledge.lancashire.ac.uk/id/eprint/18011/1/Chapter%208%20Nigeria%20final%20Corrections%20%2822016.11.30%29.pdf" TargetMode="External"/><Relationship Id="rId4" Type="http://schemas.openxmlformats.org/officeDocument/2006/relationships/hyperlink" Target="https://www.olaniwunajayi.net/wp-content/uploads/2025/09/PPP_Financial_Model_Guide_Olaniwun-Ajayi-September-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134</Pages>
  <Words>35183</Words>
  <Characters>200545</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Zanti Kolais</dc:creator>
  <cp:keywords/>
  <dc:description/>
  <cp:lastModifiedBy>Zanti Kolais</cp:lastModifiedBy>
  <cp:revision>2</cp:revision>
  <dcterms:created xsi:type="dcterms:W3CDTF">2026-04-17T12:43:00Z</dcterms:created>
  <dcterms:modified xsi:type="dcterms:W3CDTF">2026-04-17T12:43:00Z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ccbf993a-f769-4a20-9427-354843a2a803</vt:lpwstr>
  </property>
</Properties>
</file>