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PDPC Commission Decisions: Pattern Analysis and Retrieval Tagging Schema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Design Privacy Academy — Working Paper, April 2026</w:t>
      </w:r>
    </w:p>
    <w:p>
      <w:pPr>
        <w:spacing w:after="400"/>
        <w:jc w:val="center"/>
      </w:pPr>
      <w:r>
        <w:rPr>
          <w:sz w:val="22"/>
          <w:szCs w:val="22"/>
        </w:rPr>
        <w:t xml:space="preserve">Author: Chukwuemeka Cameron</w:t>
      </w:r>
    </w:p>
    <w:p>
      <w:pPr>
        <w:pStyle w:val="Heading1"/>
      </w:pPr>
      <w:r>
        <w:t xml:space="preserve">Table of Contents</w:t>
      </w:r>
    </w:p>
    <w:p>
      <w:pPr>
        <w:spacing w:after="40" w:before="40"/>
      </w:pPr>
      <w:r>
        <w:t xml:space="preserve">1. Corpus Overview</w:t>
      </w:r>
    </w:p>
    <w:p>
      <w:pPr>
        <w:spacing w:after="40" w:before="40"/>
      </w:pPr>
      <w:r>
        <w:t xml:space="preserve">2. Structural Pattern: The PDPC Decision Template</w:t>
      </w:r>
    </w:p>
    <w:p>
      <w:pPr>
        <w:spacing w:after="40" w:before="40"/>
      </w:pPr>
      <w:r>
        <w:t xml:space="preserve">3. Pattern Analysis: What the Decisions Reveal</w:t>
      </w:r>
    </w:p>
    <w:p>
      <w:pPr>
        <w:spacing w:after="40" w:before="40"/>
      </w:pPr>
      <w:r>
        <w:t xml:space="preserve">4. Ontology Alignment: What Already Exists</w:t>
      </w:r>
    </w:p>
    <w:p>
      <w:pPr>
        <w:spacing w:after="40" w:before="40"/>
      </w:pPr>
      <w:r>
        <w:t xml:space="preserve">5. Proposed Retrieval Chunking Schema</w:t>
      </w:r>
    </w:p>
    <w:p>
      <w:pPr>
        <w:spacing w:after="40" w:before="40"/>
      </w:pPr>
      <w:r>
        <w:t xml:space="preserve">6. External Ontology Alignment</w:t>
      </w:r>
    </w:p>
    <w:p>
      <w:pPr>
        <w:spacing w:after="400" w:before="40"/>
      </w:pPr>
      <w:r>
        <w:t xml:space="preserve">7. Implementation Priority</w:t>
      </w:r>
    </w:p>
    <w:p>
      <w:r>
        <w:br w:type="page"/>
      </w:r>
    </w:p>
    <w:p>
      <w:pPr>
        <w:pStyle w:val="Heading1"/>
      </w:pPr>
      <w:r>
        <w:t xml:space="preserve">1. Corpus Overview</w:t>
      </w:r>
    </w:p>
    <w:p>
      <w:pPr>
        <w:spacing w:after="120"/>
      </w:pPr>
      <w:r>
        <w:t xml:space="preserve">9 Singapore PDPC commission decisions spanning July 2025 to February 2026. All decisions concern the Personal Data Protection Act 2012 (PDPA). 8 of 9 were processed under the Expedited Decision Procedure (EDP) with voluntary admission. 1 was a full investigation resulting in no breach found.</w:t>
      </w:r>
    </w:p>
    <w:p>
      <w:pPr>
        <w:spacing w:after="120"/>
      </w:pPr>
      <w:r>
        <w:t xml:space="preserve">Financial penalties ranged from $0 (no breach) to $58,000. Total penalties across the corpus: $188,750 SGD.</w:t>
      </w:r>
    </w:p>
    <w:p>
      <w:pPr>
        <w:spacing w:after="200"/>
      </w:pPr>
      <w:r>
        <w:rPr>
          <w:b/>
          <w:bCs/>
        </w:rPr>
        <w:t xml:space="preserve">Decisions by obligation breached:</w:t>
      </w:r>
    </w:p>
    <w:p>
      <w:pPr>
        <w:spacing w:after="40" w:before="40"/>
      </w:pPr>
      <w:r>
        <w:t xml:space="preserve">Section 24(a) Protection Obligation: 8 of 9</w:t>
      </w:r>
    </w:p>
    <w:p>
      <w:pPr>
        <w:spacing w:after="40" w:before="40"/>
      </w:pPr>
      <w:r>
        <w:t xml:space="preserve">Section 12 Accountability Obligation: 2 of 9 (CASE, Air Sino-Euro)</w:t>
      </w:r>
    </w:p>
    <w:p>
      <w:pPr>
        <w:spacing w:after="40" w:before="40"/>
      </w:pPr>
      <w:r>
        <w:t xml:space="preserve">Section 11(3) Accountability — DPO designation: 1 of 9 (Air Sino-Euro)</w:t>
      </w:r>
    </w:p>
    <w:p>
      <w:pPr>
        <w:spacing w:after="400" w:before="40"/>
      </w:pPr>
      <w:r>
        <w:t xml:space="preserve">Section 13(a) Consent Obligation: 1 of 9 (IMH — no breach found)</w:t>
      </w:r>
    </w:p>
    <w:p>
      <w:pPr>
        <w:pStyle w:val="Heading1"/>
      </w:pPr>
      <w:r>
        <w:t xml:space="preserve">2. Structural Pattern: The PDPC Decision Template</w:t>
      </w:r>
    </w:p>
    <w:p>
      <w:pPr>
        <w:spacing w:after="120"/>
      </w:pPr>
      <w:r>
        <w:t xml:space="preserve">Every PDPC decision follows a rigid 7-section template:</w:t>
      </w:r>
    </w:p>
    <w:p>
      <w:pPr>
        <w:spacing w:after="60" w:before="60"/>
      </w:pPr>
      <w:r>
        <w:t xml:space="preserve">1. Header Block — citation ([YYYY] SGPDPC[S] N), case reference (DP-YYMM-CNNNN), respondent name</w:t>
      </w:r>
    </w:p>
    <w:p>
      <w:pPr>
        <w:spacing w:after="60" w:before="60"/>
      </w:pPr>
      <w:r>
        <w:t xml:space="preserve">2. Introduction — complaint or incident origin, investigation initiation</w:t>
      </w:r>
    </w:p>
    <w:p>
      <w:pPr>
        <w:spacing w:after="60" w:before="60"/>
      </w:pPr>
      <w:r>
        <w:t xml:space="preserve">3. Facts of the Case — detailed incident narrative, data types, individuals affected</w:t>
      </w:r>
    </w:p>
    <w:p>
      <w:pPr>
        <w:spacing w:after="60" w:before="60"/>
      </w:pPr>
      <w:r>
        <w:t xml:space="preserve">4. Remedial Actions — steps taken by the respondent post-incident</w:t>
      </w:r>
    </w:p>
    <w:p>
      <w:pPr>
        <w:spacing w:after="60" w:before="60"/>
      </w:pPr>
      <w:r>
        <w:t xml:space="preserve">5. Findings and Basis for Determination — legal analysis against specific PDPA sections, application of PDPC guidelines, citation of precedent decisions</w:t>
      </w:r>
    </w:p>
    <w:p>
      <w:pPr>
        <w:spacing w:after="60" w:before="60"/>
      </w:pPr>
      <w:r>
        <w:t xml:space="preserve">6. Decision — financial penalty quantum, directions for remediation, compliance deadlines</w:t>
      </w:r>
    </w:p>
    <w:p>
      <w:pPr>
        <w:spacing w:after="200" w:before="60"/>
      </w:pPr>
      <w:r>
        <w:t xml:space="preserve">7. Signature Block — Commissioner/Deputy Commissioner name, date</w:t>
      </w:r>
    </w:p>
    <w:p>
      <w:pPr>
        <w:spacing w:after="120"/>
      </w:pPr>
      <w:r>
        <w:t xml:space="preserve">This template maps directly to the existing dpa-case:ChunkType scheme: Header, Facts, LegalAnalysis, Holding, SanctionRationale, Procedural. The PDPC template adds a &amp;#x201C;Remedial Actions&amp;#x201D; section that has no current ChunkType — recommend adding ChunkType-RemedialActions.</w:t>
      </w:r>
    </w:p>
    <w:p>
      <w:r>
        <w:br w:type="page"/>
      </w:r>
    </w:p>
    <w:p>
      <w:pPr>
        <w:pStyle w:val="Heading1"/>
      </w:pPr>
      <w:r>
        <w:t xml:space="preserve">3. Pattern Analysis: What the Decisions Reveal</w:t>
      </w:r>
    </w:p>
    <w:p>
      <w:pPr>
        <w:pStyle w:val="Heading2"/>
      </w:pPr>
      <w:r>
        <w:t xml:space="preserve">3.1 Dominant Failure Patterns (FactPattern sub-components)</w:t>
      </w:r>
    </w:p>
    <w:p>
      <w:pPr>
        <w:spacing w:after="240"/>
      </w:pPr>
      <w:r>
        <w:t xml:space="preserve">Six recurring failure patterns appear across the corpus, each constituting a distinct FactPattern that should be a tagged retrieval unit: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1872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Pattern 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Failure Pattern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Cases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FP-VENDOR-MGMT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Failure to specify vendor security obligations in contracts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6/9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Goldheart, CASE, Air Sino-Euro, AOM, HMI, SESAMi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FP-PATCH-MGMT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Failure to maintain patch management processes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6/9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AOM, Goldheart, Singapore Data Hub, CASE, SESAMi, Air Sino-Euro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FP-ACCESS-CTRL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 access controls (passwords, MFA, credentials)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7/9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Ezynetic, AOM, Goldheart, SDH, CASE, SESAMi, Air Sino-Euro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FP-SECURITY-REVIEW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periodic vulnerability assessment or pen-testing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5/9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Ezynetic, AOM, SDH, Air Sino-Euro, CASE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FP-EOL-SOFTWARE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of end-of-life or unpatched software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5/9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AOM, Goldheart, SDH, CASE, Air Sino-Euro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FP-STAFF-TRAINING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Inadequate security awareness 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2/9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CASE, Air Sino-Euro</w:t>
            </w:r>
          </w:p>
        </w:tc>
      </w:tr>
    </w:tbl>
    <w:p>
      <w:pPr>
        <w:spacing w:after="120" w:before="200"/>
      </w:pPr>
      <w:r>
        <w:t xml:space="preserve">These six patterns constitute the PDPC's operational taxonomy of what &amp;#x201C;reasonable security arrangements&amp;#x201D; under Section 24(a) requires. Each pattern is a retrieval-relevant unit — a practitioner asking &amp;#x201C;what does PDPC consider adequate patch management?&amp;#x201D; needs the FP-PATCH-MGMT chunks from all relevant decisions, not the full decision text.</w:t>
      </w:r>
    </w:p>
    <w:p>
      <w:pPr>
        <w:pStyle w:val="Heading2"/>
      </w:pPr>
      <w:r>
        <w:t xml:space="preserve">3.2 Data Types Involved</w:t>
      </w:r>
    </w:p>
    <w:p>
      <w:pPr>
        <w:spacing w:after="120"/>
      </w:pPr>
      <w:r>
        <w:t xml:space="preserve">Personal data types form a controlled vocabulary for retrieval filtering:</w:t>
      </w:r>
    </w:p>
    <w:p>
      <w:pPr>
        <w:spacing w:after="60" w:before="60"/>
      </w:pPr>
      <w:r>
        <w:rPr>
          <w:b/>
          <w:bCs/>
        </w:rPr>
        <w:t xml:space="preserve">Identity: </w:t>
      </w:r>
      <w:r>
        <w:t xml:space="preserve">Name, NRIC, Passport, Date of Birth, Gender, Nationality, Race, Photograph</w:t>
      </w:r>
    </w:p>
    <w:p>
      <w:pPr>
        <w:spacing w:after="60" w:before="60"/>
      </w:pPr>
      <w:r>
        <w:rPr>
          <w:b/>
          <w:bCs/>
        </w:rPr>
        <w:t xml:space="preserve">Contact: </w:t>
      </w:r>
      <w:r>
        <w:t xml:space="preserve">Address, Email, Telephone</w:t>
      </w:r>
    </w:p>
    <w:p>
      <w:pPr>
        <w:spacing w:after="60" w:before="60"/>
      </w:pPr>
      <w:r>
        <w:rPr>
          <w:b/>
          <w:bCs/>
        </w:rPr>
        <w:t xml:space="preserve">Financial: </w:t>
      </w:r>
      <w:r>
        <w:t xml:space="preserve">Bank account details, Credit card (full/partial), Transaction data, GIRO details</w:t>
      </w:r>
    </w:p>
    <w:p>
      <w:pPr>
        <w:spacing w:after="60" w:before="60"/>
      </w:pPr>
      <w:r>
        <w:rPr>
          <w:b/>
          <w:bCs/>
        </w:rPr>
        <w:t xml:space="preserve">Health: </w:t>
      </w:r>
      <w:r>
        <w:t xml:space="preserve">Medical condition, Treatment, Medication, Skin concerns</w:t>
      </w:r>
    </w:p>
    <w:p>
      <w:pPr>
        <w:spacing w:after="240" w:before="60"/>
      </w:pPr>
      <w:r>
        <w:rPr>
          <w:b/>
          <w:bCs/>
        </w:rPr>
        <w:t xml:space="preserve">Employment/Education: </w:t>
      </w:r>
      <w:r>
        <w:t xml:space="preserve">Educational qualifications, Complaint details</w:t>
      </w:r>
    </w:p>
    <w:p>
      <w:pPr>
        <w:pStyle w:val="Heading2"/>
      </w:pPr>
      <w:r>
        <w:t xml:space="preserve">3.3 Sector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IT/SaaS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Ezynetic, Singapore Data Hub, SESAMi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Healthcare/Medical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IMH, Academy of Medicine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Education/Training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HMI Institute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Goldheart Jewelry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Non-profit/Consumer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 Sino-Euro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3.4 Penalty Quantum Factors</w:t>
      </w:r>
    </w:p>
    <w:p>
      <w:pPr>
        <w:spacing w:after="120"/>
      </w:pPr>
      <w:r>
        <w:t xml:space="preserve">The PDPC uses a consistent (though not publicly formulaic) approach to penalty determination. Factors extracted from the corpus:</w:t>
      </w:r>
    </w:p>
    <w:p>
      <w:pPr>
        <w:spacing w:after="120"/>
      </w:pPr>
      <w:r>
        <w:rPr>
          <w:b/>
          <w:bCs/>
        </w:rPr>
        <w:t xml:space="preserve">Aggravating: </w:t>
      </w:r>
      <w:r>
        <w:t xml:space="preserve">Number of individuals affected, sensitivity of data types, duration of non-compliance, prior contraventions, SaaS provider status (expected expertise), actual financial harm to data subjects, systemic failures across multiple obligations.</w:t>
      </w:r>
    </w:p>
    <w:p>
      <w:pPr>
        <w:spacing w:after="240"/>
      </w:pPr>
      <w:r>
        <w:rPr>
          <w:b/>
          <w:bCs/>
        </w:rPr>
        <w:t xml:space="preserve">Mitigating: </w:t>
      </w:r>
      <w:r>
        <w:t xml:space="preserve">Voluntary EDP admission, cooperation during investigation, first instance of non-compliance, prompt remedial action, non-profit status (limited resources), DPO appointment and policies in place pre-incident.</w:t>
      </w:r>
    </w:p>
    <w:p>
      <w:pPr>
        <w:pStyle w:val="Heading2"/>
      </w:pPr>
      <w:r>
        <w:t xml:space="preserve">3.5 Precedent Citation Network</w:t>
      </w:r>
    </w:p>
    <w:p>
      <w:pPr>
        <w:spacing w:after="120"/>
      </w:pPr>
      <w:r>
        <w:t xml:space="preserve">The decisions form a citation network. Most-cited prior decisions:</w:t>
      </w:r>
    </w:p>
    <w:p>
      <w:pPr>
        <w:spacing w:after="60" w:before="60"/>
      </w:pPr>
      <w:r>
        <w:t xml:space="preserve">Re Redmart Limited [2022] SGPDPC 8 — cited 3 times (access controls, API key/credential protection)</w:t>
      </w:r>
    </w:p>
    <w:p>
      <w:pPr>
        <w:spacing w:after="60" w:before="60"/>
      </w:pPr>
      <w:r>
        <w:t xml:space="preserve">Re Singapore Health Services [2019] SGPDPC 3 — cited 3 times (vendor contracts, data intermediary)</w:t>
      </w:r>
    </w:p>
    <w:p>
      <w:pPr>
        <w:spacing w:after="60" w:before="60"/>
      </w:pPr>
      <w:r>
        <w:t xml:space="preserve">Re Lovebonito [2022] SGPDPC 3 — cited 2 times (MFA as baseline, password policy)</w:t>
      </w:r>
    </w:p>
    <w:p>
      <w:pPr>
        <w:spacing w:after="240" w:before="60"/>
      </w:pPr>
      <w:r>
        <w:t xml:space="preserve">Re Smiling Orchid [2016] SGPDPC 19 — cited 2 times (vendor clarity)</w:t>
      </w:r>
    </w:p>
    <w:p>
      <w:pPr>
        <w:spacing w:after="200"/>
      </w:pPr>
      <w:r>
        <w:t xml:space="preserve">This citation network is itself a retrieval asset. The dpa-case:citesPrecedent relation already models this; the ingestion pipeline must extract and link these references as typed graph edges.</w:t>
      </w:r>
    </w:p>
    <w:p>
      <w:r>
        <w:br w:type="page"/>
      </w:r>
    </w:p>
    <w:p>
      <w:pPr>
        <w:pStyle w:val="Heading1"/>
      </w:pPr>
      <w:r>
        <w:t xml:space="preserve">4. Ontology Alignment: What Already Exists</w:t>
      </w:r>
    </w:p>
    <w:p>
      <w:pPr>
        <w:spacing w:after="240"/>
      </w:pPr>
      <w:r>
        <w:t xml:space="preserve">The existing DPA ontology stack covers significant ground. The mapping exercise — comparing PDPC decision structure against existing OWL classes — reveals what is already modelled and what is genuinely missing.</w:t>
      </w:r>
    </w:p>
    <w:p>
      <w:pPr>
        <w:pStyle w:val="Heading2"/>
      </w:pPr>
      <w:r>
        <w:t xml:space="preserve">4.1 Direct Mappings (Already in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PDPC Decision Element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Existing Ontology Entity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Namespace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decision itself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dpa-case:SupervisoryDecision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penalty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dpa-enforcement:AdministrativeFine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dpa-enforcement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Directions issued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dpa-enforcement:ComplianceOrder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dpa-enforcement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PDPA section breached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dpa-legal:StatutoryProvision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dpa-legal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PDPC as authority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dpa-legal:SupervisoryAuthority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dpa-legal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Singapore as jurisdiction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dpa-legal:Jurisdiction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dpa-legal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Respondent organisation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dpa-case:Party (partyRole: &amp;#x201C;Data Controller&amp;#x201D;)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 decisions cited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dpa-case:Precedent + citesPrecedent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issue area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dpa-legal:IssueArea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dpa-legal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text chunks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dpa-case:DecisionChunk + ChunkType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 embeddings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dpa-case:DecisionEmbedding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dpa-case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Provenance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dpa-prov:ExtractionRecord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dpa-prov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Sanction severity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dpa-enforcement:SanctionBand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dpa-enforcement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4.2 Gaps: What Is Genuinely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FactPattern entity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six failure patterns are the most retrieval-relevant units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class: dpa-case:FactPattern with hasFactPattern relation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PersonalDataCategory controlled vocabulary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Retrieval filtering by data type requires typed 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Reuse DPV PersonalData hierarchy; create SKOS scheme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RemedialAction entity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Remedial actions are distinct analytical units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class: dpa-case:RemedialAction linked via hasRemedialAction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DecisionProcedure controlled vocabulary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EDP vs Full Investigation determines decision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SKOS scheme: EDP, FullInvestigation, VoluntaryUndertaking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IndividualsAffected datatype property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Retrieval by scale of breach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datatype property on SupervisoryDecision: individualsAffected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IndustrySector controlled vocabulary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Sector-based retrieval and benchmarking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SKOS scheme aligned with SSIC (Singapore Standard Industrial Classification)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Authority-PDPC individual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Singapore PDPC not yet in dpa-legal instances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dpa-legal:Authority-PDPC as named individual of SupervisoryAuthority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Provision-PDPA instances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PDPA sections not yet modelled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as individuals of dpa-legal:StatutoryProvision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PenaltyQuantumFactor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Aggravating/mitigating factors are structured reasoning units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class with SKOS scheme: Aggravating, Mitigating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DataIntermediaryRelation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SESAMi decision established precedent on intra-group obligations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Reuse DPV's DataProcessor/DataController taxonomy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Proposed Retrieval Chunking Schema</w:t>
      </w:r>
    </w:p>
    <w:p>
      <w:pPr>
        <w:spacing w:after="240"/>
      </w:pPr>
      <w:r>
        <w:t xml:space="preserve">Each PDPC decision should be decomposed into the following retrieval units, each tagged with ontology-aligned metadata:</w:t>
      </w:r>
    </w:p>
    <w:p>
      <w:pPr>
        <w:pStyle w:val="Heading2"/>
      </w:pPr>
      <w:r>
        <w:t xml:space="preserve">5.1 Chunk Types (extending existing ChunkType scheme)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2340"/>
        <w:gridCol w:w="2808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Chunk 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Typical Token Count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Retrieval Query Example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Citation, case ref, respondent, date, commissioner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50–100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&amp;#x201C;All PDPC decisions by Deputy Commissioner Wong in 2025&amp;#x201D;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narrative, how breach occurred, data involved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400–800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&amp;#x201C;Decisions involving ransomware attacks on healthcare organisations&amp;#x201D;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FactPattern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failure pattern extracted from facts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150–300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&amp;#x201C;What does PDPC consider adequate patch management?&amp;#x201D;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RemedialActions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 respondent took post-incident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200–400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&amp;#x201C;What remediation did organisations implement after SQL injection?&amp;#x201D;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LegalAnalysis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PDPC's application of law to specific obligation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300–600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&amp;#x201C;How has PDPC interpreted &amp;#x2018;reasonable security arrangements&amp;#x2019;?&amp;#x201D;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SanctionRationale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Penalty quantum reasoning, aggravating/mitigating factors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200–400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&amp;#x201C;What penalty range for breaches affecting 100,000+ individuals?&amp;#x201D;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operative determination — breach found or not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100–200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&amp;#x201C;All cases where Protection Obligation was breached&amp;#x201D;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PrecedentCitation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cited prior decision with the principle it was cited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50–150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&amp;#x201C;Which decisions cite Re Redmart and for what principle?&amp;#x201D;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specific remediation direction with deadline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100–200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&amp;#x201C;What security directions has PDPC ordered?&amp;#x201D;</w:t>
            </w:r>
          </w:p>
        </w:tc>
      </w:tr>
    </w:tbl>
    <w:p>
      <w:pPr>
        <w:spacing w:after="240" w:before="200"/>
      </w:pPr>
      <w:r>
        <w:t xml:space="preserve"/>
      </w:r>
    </w:p>
    <w:p>
      <w:pPr>
        <w:pStyle w:val="Heading2"/>
      </w:pPr>
      <w:r>
        <w:t xml:space="preserve">5.2 Metadata Tags Per Chunk</w:t>
      </w:r>
    </w:p>
    <w:p>
      <w:pPr>
        <w:spacing w:after="240"/>
      </w:pPr>
      <w:r>
        <w:t xml:space="preserve">Every chunk receives the following metadata, each aligned to an ontology entity or property:</w:t>
      </w:r>
    </w:p>
    <w:p>
      <w:pPr>
        <w:spacing w:after="60" w:before="60"/>
      </w:pPr>
      <w:r>
        <w:t xml:space="preserve">decision_iri: URI of the parent SupervisoryDecision</w:t>
      </w:r>
    </w:p>
    <w:p>
      <w:pPr>
        <w:spacing w:after="60" w:before="60"/>
      </w:pPr>
      <w:r>
        <w:t xml:space="preserve">chunk_type: from ChunkType SKOS scheme</w:t>
      </w:r>
    </w:p>
    <w:p>
      <w:pPr>
        <w:spacing w:after="60" w:before="60"/>
      </w:pPr>
      <w:r>
        <w:t xml:space="preserve">jurisdiction: dpa-legal:Jurisdiction-Singapore</w:t>
      </w:r>
    </w:p>
    <w:p>
      <w:pPr>
        <w:spacing w:after="60" w:before="60"/>
      </w:pPr>
      <w:r>
        <w:t xml:space="preserve">authority: dpa-legal:Authority-PDPC</w:t>
      </w:r>
    </w:p>
    <w:p>
      <w:pPr>
        <w:spacing w:after="60" w:before="60"/>
      </w:pPr>
      <w:r>
        <w:t xml:space="preserve">provisions_applied: list of dpa-legal:StatutoryProvision IRIs</w:t>
      </w:r>
    </w:p>
    <w:p>
      <w:pPr>
        <w:spacing w:after="60" w:before="60"/>
      </w:pPr>
      <w:r>
        <w:t xml:space="preserve">fact_patterns: list of FactPattern IDs (for Facts and FactPattern chunks)</w:t>
      </w:r>
    </w:p>
    <w:p>
      <w:pPr>
        <w:spacing w:after="60" w:before="60"/>
      </w:pPr>
      <w:r>
        <w:t xml:space="preserve">personal_data_categories: from DPV PersonalData hierarchy</w:t>
      </w:r>
    </w:p>
    <w:p>
      <w:pPr>
        <w:spacing w:after="60" w:before="60"/>
      </w:pPr>
      <w:r>
        <w:t xml:space="preserve">industry_sector: from SSIC-aligned SKOS scheme</w:t>
      </w:r>
    </w:p>
    <w:p>
      <w:pPr>
        <w:spacing w:after="60" w:before="60"/>
      </w:pPr>
      <w:r>
        <w:t xml:space="preserve">individuals_affected: integer</w:t>
      </w:r>
    </w:p>
    <w:p>
      <w:pPr>
        <w:spacing w:after="60" w:before="60"/>
      </w:pPr>
      <w:r>
        <w:t xml:space="preserve">penalty_amount_sgd: decimal</w:t>
      </w:r>
    </w:p>
    <w:p>
      <w:pPr>
        <w:spacing w:after="60" w:before="60"/>
      </w:pPr>
      <w:r>
        <w:t xml:space="preserve">decision_date: xsd:date</w:t>
      </w:r>
    </w:p>
    <w:p>
      <w:pPr>
        <w:spacing w:after="60" w:before="60"/>
      </w:pPr>
      <w:r>
        <w:t xml:space="preserve">procedure_type: EDP or FullInvestigation</w:t>
      </w:r>
    </w:p>
    <w:p>
      <w:pPr>
        <w:spacing w:after="60" w:before="60"/>
      </w:pPr>
      <w:r>
        <w:t xml:space="preserve">precedents_cited: list of Precedent IRIs</w:t>
      </w:r>
    </w:p>
    <w:p>
      <w:pPr>
        <w:spacing w:after="60" w:before="60"/>
      </w:pPr>
      <w:r>
        <w:t xml:space="preserve">authority_tier: Tier 1 (supervisory decision — authoritative)</w:t>
      </w:r>
    </w:p>
    <w:p>
      <w:pPr>
        <w:spacing w:after="240" w:before="60"/>
      </w:pPr>
      <w:r>
        <w:t xml:space="preserve">prov:dataStatus: Verified (published decision)</w:t>
      </w:r>
    </w:p>
    <w:p>
      <w:r>
        <w:br w:type="page"/>
      </w:r>
    </w:p>
    <w:p>
      <w:pPr>
        <w:pStyle w:val="Heading1"/>
      </w:pPr>
      <w:r>
        <w:t xml:space="preserve">6. External Ontology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External Ontology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We Reuse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Integration Point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W3C DPV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PersonalData taxonomy, DataController/DataProcessor roles, LegalBasis concepts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data category tagging; party role classification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GDPRtEXT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 class hierarchy, Article/Section/Clause typing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 for PDPA provisions — rdfs:subClassOf GDPRtEXT Provision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citesAsAuthority relation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cites_provision with CiTO citesAsAuthority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instrument versioning, amendment state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PDPA amendment tracking (2020 amendments significant)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LKIF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Deontic concepts: obligation, prohibition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PDPA obligations to LKIF norm types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SKOS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 schemes for controlled vocabularies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FactPattern taxonomy, DataCategory scheme, IndustrySector scheme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Implementation Priority</w:t>
      </w:r>
    </w:p>
    <w:p>
      <w:pPr>
        <w:pStyle w:val="Heading2"/>
      </w:pPr>
      <w:r>
        <w:t xml:space="preserve">Phase 1 (Immediate — extends existing pipeline):</w:t>
      </w:r>
    </w:p>
    <w:p>
      <w:pPr>
        <w:spacing w:after="60" w:before="60"/>
      </w:pPr>
      <w:r>
        <w:t xml:space="preserve">Add Authority-PDPC to dpa-legal</w:t>
      </w:r>
    </w:p>
    <w:p>
      <w:pPr>
        <w:spacing w:after="60" w:before="60"/>
      </w:pPr>
      <w:r>
        <w:t xml:space="preserve">Add PDPA StatutoryProvision instances (Sections 11(3), 12, 13(a), 14(1), 15A, 24(a))</w:t>
      </w:r>
    </w:p>
    <w:p>
      <w:pPr>
        <w:spacing w:after="60" w:before="60"/>
      </w:pPr>
      <w:r>
        <w:t xml:space="preserve">Add ChunkType-RemedialActions and ChunkType-FactPattern to chunk scheme</w:t>
      </w:r>
    </w:p>
    <w:p>
      <w:pPr>
        <w:spacing w:after="240" w:before="60"/>
      </w:pPr>
      <w:r>
        <w:t xml:space="preserve">Extend chunk-decisions.py to detect PDPC template sections</w:t>
      </w:r>
    </w:p>
    <w:p>
      <w:pPr>
        <w:pStyle w:val="Heading2"/>
      </w:pPr>
      <w:r>
        <w:t xml:space="preserve">Phase 2 (New entities — requires ontology extension):</w:t>
      </w:r>
    </w:p>
    <w:p>
      <w:pPr>
        <w:spacing w:after="60" w:before="60"/>
      </w:pPr>
      <w:r>
        <w:t xml:space="preserve">Define FactPattern class and the six initial instances from this corpus</w:t>
      </w:r>
    </w:p>
    <w:p>
      <w:pPr>
        <w:spacing w:after="60" w:before="60"/>
      </w:pPr>
      <w:r>
        <w:t xml:space="preserve">Create PersonalDataCategory SKOS scheme (reusing DPV hierarchy)</w:t>
      </w:r>
    </w:p>
    <w:p>
      <w:pPr>
        <w:spacing w:after="60" w:before="60"/>
      </w:pPr>
      <w:r>
        <w:t xml:space="preserve">Create IndustrySector SKOS scheme</w:t>
      </w:r>
    </w:p>
    <w:p>
      <w:pPr>
        <w:spacing w:after="240" w:before="60"/>
      </w:pPr>
      <w:r>
        <w:t xml:space="preserve">Add individualsAffected and penaltyAmount datatype properties</w:t>
      </w:r>
    </w:p>
    <w:p>
      <w:pPr>
        <w:pStyle w:val="Heading2"/>
      </w:pPr>
      <w:r>
        <w:t xml:space="preserve">Phase 3 (Integration — bridges to LCEE):</w:t>
      </w:r>
    </w:p>
    <w:p>
      <w:pPr>
        <w:spacing w:after="60" w:before="60"/>
      </w:pPr>
      <w:r>
        <w:t xml:space="preserve">Precedent citation extraction and citesPrecedent linking</w:t>
      </w:r>
    </w:p>
    <w:p>
      <w:pPr>
        <w:spacing w:after="60" w:before="60"/>
      </w:pPr>
      <w:r>
        <w:t xml:space="preserve">FactPattern-to-Provision cross-referencing (which patterns violate which sections)</w:t>
      </w:r>
    </w:p>
    <w:p>
      <w:pPr>
        <w:spacing w:after="60" w:before="60"/>
      </w:pPr>
      <w:r>
        <w:t xml:space="preserve">Penalty quantum factor tagging for sanction rationale reasoning</w:t>
      </w:r>
    </w:p>
    <w:p>
      <w:pPr>
        <w:spacing w:after="240" w:before="60"/>
      </w:pPr>
      <w:r>
        <w:t xml:space="preserve">DPV PersonalData alignment for cross-jurisdictional retrieval queries</w:t>
      </w:r>
    </w:p>
    <w:p>
      <w:r>
        <w:br w:type="page"/>
      </w:r>
    </w:p>
    <w:p>
      <w:pPr>
        <w:pStyle w:val="Heading1"/>
      </w:pPr>
      <w:r>
        <w:t xml:space="preserve">8. Three Queries That Validate the Schema</w:t>
      </w:r>
    </w:p>
    <w:p>
      <w:pPr>
        <w:spacing w:after="240"/>
      </w:pPr>
      <w:r>
        <w:t xml:space="preserve">Following Allemang's three-query test, the proposed schema must answer at least three real queries that the current system cannot.</w:t>
      </w:r>
    </w:p>
    <w:p>
      <w:pPr>
        <w:pStyle w:val="Heading2"/>
      </w:pPr>
      <w:r>
        <w:t xml:space="preserve">Query 1</w:t>
      </w:r>
    </w:p>
    <w:p>
      <w:pPr>
        <w:spacing w:after="120"/>
      </w:pPr>
      <w:r>
        <w:rPr>
          <w:i/>
          <w:iCs/>
        </w:rPr>
        <w:t xml:space="preserve">&amp;#x201C;Which PDPC decisions found that vendor management failures constituted a breach of the Protection Obligation, and what specific contractual deficiencies did the PDPC identify?&amp;#x201D;</w:t>
      </w:r>
    </w:p>
    <w:p>
      <w:pPr>
        <w:spacing w:after="240"/>
      </w:pPr>
      <w:r>
        <w:t xml:space="preserve">Requires: FactPattern (FP-VENDOR-MGMT) linked to StatutoryProvision (Section 24(a)), with LegalAnalysis chunks filterable by fact pattern.</w:t>
      </w:r>
    </w:p>
    <w:p>
      <w:pPr>
        <w:pStyle w:val="Heading2"/>
      </w:pPr>
      <w:r>
        <w:t xml:space="preserve">Query 2</w:t>
      </w:r>
    </w:p>
    <w:p>
      <w:pPr>
        <w:spacing w:after="120"/>
      </w:pPr>
      <w:r>
        <w:rPr>
          <w:i/>
          <w:iCs/>
        </w:rPr>
        <w:t xml:space="preserve">&amp;#x201C;What is the typical penalty range for data breaches affecting more than 100,000 individuals in Singapore, and what mitigating factors reduced penalties?&amp;#x201D;</w:t>
      </w:r>
    </w:p>
    <w:p>
      <w:pPr>
        <w:spacing w:after="240"/>
      </w:pPr>
      <w:r>
        <w:t xml:space="preserve">Requires: individualsAffected property, SanctionRationale chunks, PenaltyQuantumFactor tags with Aggravating/Mitigating classification.</w:t>
      </w:r>
    </w:p>
    <w:p>
      <w:pPr>
        <w:pStyle w:val="Heading2"/>
      </w:pPr>
      <w:r>
        <w:t xml:space="preserve">Query 3</w:t>
      </w:r>
    </w:p>
    <w:p>
      <w:pPr>
        <w:spacing w:after="120"/>
      </w:pPr>
      <w:r>
        <w:rPr>
          <w:i/>
          <w:iCs/>
        </w:rPr>
        <w:t xml:space="preserve">&amp;#x201C;Show me all remedial actions that organisations in the IT/SaaS sector implemented after breaches involving credential exposure, and what additional directions did the PDPC impose?&amp;#x201D;</w:t>
      </w:r>
    </w:p>
    <w:p>
      <w:pPr>
        <w:spacing w:after="240"/>
      </w:pPr>
      <w:r>
        <w:t xml:space="preserve">Requires: IndustrySector tag, RemedialActions chunks, Direction chunks, PersonalDataCategory filtering, FactPattern (FP-ACCESS-CTRL).</w:t>
      </w:r>
    </w:p>
    <w:p>
      <w:pPr>
        <w:spacing w:after="200"/>
      </w:pPr>
      <w:r>
        <w:t xml:space="preserve">None of these queries can be answered by full-text search against raw PDFs. All three require the structured metadata, typed chunks, and ontology-aligned tags proposed in this schema.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</w:pPr>
    <w:r>
      <w:t xml:space="preserve">DESIGN PRIVACY ACADEMY | WORKING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2026-04-05T15:12:59.220Z</dcterms:created>
  <dcterms:modified xsi:type="dcterms:W3CDTF">2026-04-05T15:12:59.220Z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