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RESEARCH PROTOCOL</w:t>
      </w:r>
    </w:p>
    <w:p>
      <w:pPr>
        <w:spacing w:after="600"/>
        <w:jc w:val="center"/>
      </w:pPr>
      <w:r>
        <w:rPr>
          <w:rFonts w:ascii="Arial" w:cs="Arial" w:eastAsia="Arial" w:hAnsi="Arial"/>
          <w:color w:val="2E75B6"/>
          <w:sz w:val="28"/>
          <w:szCs w:val="28"/>
        </w:rPr>
        <w:t xml:space="preserve">Eval Framework for Regulatory Decision Extraction Accuracy</w:t>
      </w:r>
    </w:p>
    <w:p>
      <w:pPr>
        <w:pBdr>
          <w:top w:val="single" w:color="1F4E79" w:sz="6" w:space="8"/>
          <w:bottom w:val="single" w:color="1F4E79" w:sz="6" w:space="8"/>
        </w:pBdr>
        <w:spacing w:after="100"/>
        <w:jc w:val="center"/>
      </w:pPr>
      <w:r>
        <w:rPr>
          <w:rFonts w:ascii="Arial" w:cs="Arial" w:eastAsia="Arial" w:hAnsi="Arial"/>
          <w:color w:val="404040"/>
          <w:sz w:val="22"/>
          <w:szCs w:val="22"/>
        </w:rPr>
        <w:t xml:space="preserve">Open Brain Phase 2 | Task P2-07 / P2-09</w:t>
      </w:r>
    </w:p>
    <w:p>
      <w:pPr>
        <w:spacing w:after="100" w:before="400"/>
        <w:jc w:val="center"/>
      </w:pPr>
      <w:r>
        <w:rPr>
          <w:rFonts w:ascii="Arial" w:cs="Arial" w:eastAsia="Arial" w:hAnsi="Arial"/>
          <w:sz w:val="22"/>
          <w:szCs w:val="22"/>
        </w:rPr>
        <w:t xml:space="preserve">Design Privacy Academy</w:t>
      </w:r>
    </w:p>
    <w:p>
      <w:pPr>
        <w:spacing w:after="100"/>
        <w:jc w:val="center"/>
      </w:pPr>
      <w:r>
        <w:rPr>
          <w:rFonts w:ascii="Arial" w:cs="Arial" w:eastAsia="Arial" w:hAnsi="Arial"/>
          <w:color w:val="666666"/>
          <w:sz w:val="22"/>
          <w:szCs w:val="22"/>
        </w:rPr>
        <w:t xml:space="preserve">5 April 2026</w:t>
      </w:r>
    </w:p>
    <w:p>
      <w:pPr>
        <w:spacing w:after="100"/>
        <w:jc w:val="center"/>
      </w:pPr>
      <w:r>
        <w:rPr>
          <w:rFonts w:ascii="Arial" w:cs="Arial" w:eastAsia="Arial" w:hAnsi="Arial"/>
          <w:color w:val="999999"/>
          <w:sz w:val="20"/>
          <w:szCs w:val="20"/>
        </w:rPr>
        <w:t xml:space="preserve">Version 1.0 | Status: DRAFT</w:t>
      </w:r>
    </w:p>
    <w:p>
      <w:r>
        <w:br w:type="page"/>
      </w:r>
    </w:p>
    <w:p>
      <w:pPr>
        <w:pStyle w:val="Heading1"/>
      </w:pPr>
      <w:r>
        <w:t xml:space="preserve">1. Research Question</w:t>
      </w:r>
    </w:p>
    <w:p>
      <w:pPr>
        <w:spacing w:after="120"/>
      </w:pPr>
      <w:r>
        <w:t xml:space="preserve">How accurately can an automated extraction pipeline identify and classify structured metadata from regulatory enforcement decisions, and what evaluation framework will ensure that extraction accuracy remains above a defined threshold as the pipeline scales across jurisdictions and decision formats?</w:t>
      </w:r>
    </w:p>
    <w:p>
      <w:pPr>
        <w:pStyle w:val="Heading2"/>
      </w:pPr>
      <w:r>
        <w:t xml:space="preserve">1.1 Subsidiary Questions</w:t>
      </w:r>
    </w:p>
    <w:p>
      <w:pPr>
        <w:pStyle w:val="ListParagraph"/>
        <w:numPr>
          <w:ilvl w:val="0"/>
          <w:numId w:val="2"/>
        </w:numPr>
        <w:spacing w:after="80"/>
      </w:pPr>
      <w:r>
        <w:t xml:space="preserve">What is the measurable accuracy of regex-based structured extraction (outcome, penalty amount, obligations breached, respondent, industry, breach type, data subjects affected) against a human-verified ground truth for PDPC decisions?</w:t>
      </w:r>
    </w:p>
    <w:p>
      <w:pPr>
        <w:pStyle w:val="ListParagraph"/>
        <w:numPr>
          <w:ilvl w:val="0"/>
          <w:numId w:val="2"/>
        </w:numPr>
        <w:spacing w:after="80"/>
      </w:pPr>
      <w:r>
        <w:t xml:space="preserve">Which extraction fields degrade most under temporal format drift (i.e. when decision formatting changes across publication years)?</w:t>
      </w:r>
    </w:p>
    <w:p>
      <w:pPr>
        <w:pStyle w:val="ListParagraph"/>
        <w:numPr>
          <w:ilvl w:val="0"/>
          <w:numId w:val="2"/>
        </w:numPr>
        <w:spacing w:after="80"/>
      </w:pPr>
      <w:r>
        <w:t xml:space="preserve">At what field-level accuracy threshold does downstream retrieval quality (Tier 1 ranking, ontology tag fidelity, cross-backbone query recall) become unreliable?</w:t>
      </w:r>
    </w:p>
    <w:p>
      <w:pPr>
        <w:pStyle w:val="ListParagraph"/>
        <w:numPr>
          <w:ilvl w:val="0"/>
          <w:numId w:val="2"/>
        </w:numPr>
        <w:spacing w:after="80"/>
      </w:pPr>
      <w:r>
        <w:t xml:space="preserve">Can a structured eval harness be integrated into the Open Brain universal ingestion pipeline (Extract → Transform → Validate → Load → Verify) as a reusable gate at the Validate stage?</w:t>
      </w:r>
    </w:p>
    <w:p>
      <w:pPr>
        <w:pStyle w:val="Heading2"/>
      </w:pPr>
      <w:r>
        <w:t xml:space="preserve">1.2 Practical Significance</w:t>
      </w:r>
    </w:p>
    <w:p>
      <w:pPr>
        <w:spacing w:after="120"/>
      </w:pPr>
      <w:r>
        <w:t xml:space="preserve">This research directly addresses Open Brain task P2-09 (Test cross-backbone queries) and the Retrieval Engineer’s mandate to build a benchmark suite (P5-03). Without a validated accuracy baseline for the extraction stage, the ingestion pipeline cannot guarantee that Tier 1 regulatory decisions are tagged correctly, which would cascade into ranking failures, ontology pollution, and unreliable cross-domain queries. The eval framework produced by this research will become a permanent quality gate in the pipeline.</w:t>
      </w:r>
    </w:p>
    <w:p>
      <w:r>
        <w:br w:type="page"/>
      </w:r>
    </w:p>
    <w:p>
      <w:pPr>
        <w:pStyle w:val="Heading1"/>
      </w:pPr>
      <w:r>
        <w:t xml:space="preserve">2. Theory and Observable Implications</w:t>
      </w:r>
    </w:p>
    <w:p>
      <w:pPr>
        <w:pStyle w:val="Heading2"/>
      </w:pPr>
      <w:r>
        <w:t xml:space="preserve">2.1 Theory</w:t>
      </w:r>
    </w:p>
    <w:p>
      <w:pPr>
        <w:spacing w:after="120"/>
      </w:pPr>
      <w:r>
        <w:t xml:space="preserve">Regulatory decisions follow semi-structured templates that vary by jurisdiction and era. The predictability of these templates determines the ceiling for automated extraction accuracy. We hypothesise that pattern-based extraction (regex, keyword matching, section boundary detection) will achieve high accuracy on fields governed by rigid formatting conventions (case reference, decision date, respondent) but will degrade on fields that require semantic interpretation of unstructured prose (outcome classification, breach type, industry).</w:t>
      </w:r>
    </w:p>
    <w:p>
      <w:pPr>
        <w:pStyle w:val="Heading2"/>
      </w:pPr>
      <w:r>
        <w:t xml:space="preserve">2.2 Observable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60"/>
        <w:gridCol w:w="43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c>
          <w:tcPr>
            <w:tcW w:type="dxa" w:w="4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fields (case_reference, decision_date, respondent) will achieve &gt;95% F1 accuracy across all years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score per field against ground truth, stratified by year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fields (outcome, industry, breach_type) will show accuracy degradation on pre-2018 decisions due to format drift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score per field, stratified by era (2016–2018 vs 2019–2026)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penalty extraction will achieve &gt;98% accuracy when both S$ and $ formats are handled, but &lt;60% without S$ support</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Exact-match accuracy on penalty amount vs ground truth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misclassification will cluster around “boilerplate contamination” (powers clauses triggering false Financial Penalty classification)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matrix for outcome classes; error type taxonomy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Multi-party decisions will have higher error rates than single-party decisions across all fields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comparison: single vs multi-party, controlled for year</w:t>
            </w:r>
          </w:p>
        </w:tc>
      </w:tr>
    </w:tbl>
    <w:p>
      <w:pPr>
        <w:pStyle w:val="Heading2"/>
      </w:pPr>
      <w:r>
        <w:t xml:space="preserve">2.3 Rival Explanations</w:t>
      </w:r>
    </w:p>
    <w:p>
      <w:pPr>
        <w:spacing w:after="120"/>
      </w:pPr>
      <w:r>
        <w:rPr>
          <w:b/>
          <w:bCs/>
        </w:rPr>
        <w:t xml:space="preserve">R1 — Corpus artefacts: </w:t>
      </w:r>
      <w:r>
        <w:t xml:space="preserve">Low accuracy may result from PDF extraction failures (garbled text, OCR errors, layout-table interference) rather than pattern-matching failures. Observable implication: if we control for PDF quality (text extractability score), pattern accuracy should be constant.</w:t>
      </w:r>
    </w:p>
    <w:p>
      <w:pPr>
        <w:spacing w:after="120"/>
      </w:pPr>
      <w:r>
        <w:rPr>
          <w:b/>
          <w:bCs/>
        </w:rPr>
        <w:t xml:space="preserve">R2 — Overfitting to PDPC: </w:t>
      </w:r>
      <w:r>
        <w:t xml:space="preserve">High accuracy on PDPC decisions may not generalise to other jurisdictions (DPC Ireland, EDPS, ODPC Kenya) because the eval was built around PDPC’s specific template. Observable implication: applying the same extraction patterns to a different jurisdiction should show measurable degradation.</w:t>
      </w:r>
    </w:p>
    <w:p>
      <w:r>
        <w:br w:type="page"/>
      </w:r>
    </w:p>
    <w:p>
      <w:pPr>
        <w:pStyle w:val="Heading1"/>
      </w:pPr>
      <w:r>
        <w:t xml:space="preserve">3. Measurement Framework</w:t>
      </w:r>
    </w:p>
    <w:p>
      <w:pPr>
        <w:pStyle w:val="Heading2"/>
      </w:pPr>
      <w:r>
        <w:t xml:space="preserve">3.1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800"/>
        <w:gridCol w:w="22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Ground Truth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Extraction Method</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[YYYY] SGPDPC 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match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 (date)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 JSON field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match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pattern extraction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Fuzzy match (Levenshtein ≤ 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(7 classes)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Multi-signal classifier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 F1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financial_penalty_sgd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 (currency)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Regex: S$/$X,XXX in directive context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match + MAPE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obligations_breached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Multi-label nominal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matching (title + body)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Label-set F1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Nominal (16 classes)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keyword matching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 F1 + coverage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Multi-label nominal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Section-scoped keyword matching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Label-set F1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data_subjects_affected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 (count)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regex in context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Within-10% accuracy</w:t>
            </w:r>
          </w:p>
        </w:tc>
      </w:tr>
    </w:tbl>
    <w:p>
      <w:pPr>
        <w:pStyle w:val="Heading2"/>
      </w:pPr>
      <w:r>
        <w:t xml:space="preserve">3.2 Ontology Alignment</w:t>
      </w:r>
    </w:p>
    <w:p>
      <w:pPr>
        <w:spacing w:after="120"/>
      </w:pPr>
      <w:r>
        <w:t xml:space="preserve">Each extraction field maps to a property in the Open Brain ontology stack. Accuracy failures in extraction propagate into incorrect ontology tags, which in turn degrade retrieval ranking and cross-backbone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Extraction Field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Ontology Property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Retrieval Impact of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dpa-case:hasOutcome → DecisionOutcome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outcome → broken filter queries, misleading statistics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financial_penalty_sgd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dpa-enforcement:hasAmount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amount → incorrect benchmarking, misleading penalty trend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obligations_breached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dpa-legal:addressesViolation → StatutoryProvision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obligation → incomplete cross-backbone queries (e.g. “all Protection Obligation breaches”)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case_reference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ID: regdecision:pdpc:{ref}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ID → duplicate ingestion, broken dedup</w:t>
            </w:r>
          </w:p>
        </w:tc>
      </w:tr>
    </w:tbl>
    <w:p>
      <w:r>
        <w:br w:type="page"/>
      </w:r>
    </w:p>
    <w:p>
      <w:pPr>
        <w:pStyle w:val="Heading1"/>
      </w:pPr>
      <w:r>
        <w:t xml:space="preserve">4. Data Collection Protocol</w:t>
      </w:r>
    </w:p>
    <w:p>
      <w:pPr>
        <w:pStyle w:val="Heading2"/>
      </w:pPr>
      <w:r>
        <w:t xml:space="preserve">4.1 Population</w:t>
      </w:r>
    </w:p>
    <w:p>
      <w:pPr>
        <w:spacing w:after="120"/>
      </w:pPr>
      <w:r>
        <w:t xml:space="preserve">The target population is all Commission decisions published by the Personal Data Protection Commission of Singapore from April 2016 to February 2026. The corpus contains 266 decisions, all of which have been fetched as PDFs via the dp-news pipeline. This is a complete census, not a sample.</w:t>
      </w:r>
    </w:p>
    <w:p>
      <w:pPr>
        <w:pStyle w:val="Heading2"/>
      </w:pPr>
      <w:r>
        <w:t xml:space="preserve">4.2 Ground Truth Construction</w:t>
      </w:r>
    </w:p>
    <w:p>
      <w:pPr>
        <w:spacing w:after="120"/>
      </w:pPr>
      <w:r>
        <w:t xml:space="preserve">A stratified ground truth set must be manually annotated to serve as the evaluation benchmark. The stratification ensures coverage of the major sources of extraction difficulty.</w:t>
      </w:r>
    </w:p>
    <w:p>
      <w:pPr>
        <w:spacing w:after="120"/>
      </w:pPr>
      <w:r>
        <w:rPr>
          <w:b/>
          <w:bCs/>
        </w:rPr>
        <w:t xml:space="preserve">Stratification dimensions: </w:t>
      </w:r>
      <w:r>
        <w:t xml:space="preserve">publication year (pre-2018, 2018–2020, 2021–2026), outcome type (Financial Penalty, Warning, Directions, No Breach, Other), party structure (single vs multi-party), penalty magnitude band ($0, $1–$10K, $10K–$50K, $50K–$100K, $100K+).</w:t>
      </w:r>
    </w:p>
    <w:p>
      <w:pPr>
        <w:spacing w:after="120"/>
      </w:pPr>
      <w:r>
        <w:rPr>
          <w:b/>
          <w:bCs/>
        </w:rPr>
        <w:t xml:space="preserve">Recommended ground truth size: </w:t>
      </w:r>
      <w:r>
        <w:t xml:space="preserve">60 decisions (~23% of corpus). This provides sufficient statistical power to detect a 10-percentage-point difference in accuracy between subgroups at α = 0.05 with 80% power, given the multi-class nature of the outcome variable.</w:t>
      </w:r>
    </w:p>
    <w:p>
      <w:pPr>
        <w:pStyle w:val="Heading3"/>
      </w:pPr>
      <w:r>
        <w:t xml:space="preserve">4.2.1 Annotation Schema</w:t>
      </w:r>
    </w:p>
    <w:p>
      <w:pPr>
        <w:spacing w:after="120"/>
      </w:pPr>
      <w:r>
        <w:t xml:space="preserve">Each ground truth record must contain all 9 extraction fields annotated by a human reviewer. For multi-label fields (obligations_breached, breach_type), the complete label set must be provided. For financial_penalty_sgd, the annotator must record the final (not preliminary) penalty amount.</w:t>
      </w:r>
    </w:p>
    <w:p>
      <w:pPr>
        <w:spacing w:after="120"/>
      </w:pPr>
      <w:r>
        <w:rPr>
          <w:b/>
          <w:bCs/>
        </w:rPr>
        <w:t xml:space="preserve">Annotation protocol: </w:t>
      </w:r>
      <w:r>
        <w:t xml:space="preserve">Two independent annotators review each decision. Disagreements are resolved by a third reviewer. Inter-annotator agreement is measured using Cohen’s kappa for nominal fields and intraclass correlation coefficient (ICC) for interval fields. Minimum acceptable agreement: κ ≥ 0.80 for nominal fields, ICC ≥ 0.90 for interval fields.</w:t>
      </w:r>
    </w:p>
    <w:p>
      <w:pPr>
        <w:pStyle w:val="Heading2"/>
      </w:pPr>
      <w:r>
        <w:t xml:space="preserve">4.3 Avoiding Selection Bias</w:t>
      </w:r>
    </w:p>
    <w:p>
      <w:pPr>
        <w:spacing w:after="120"/>
      </w:pPr>
      <w:r>
        <w:t xml:space="preserve">The ground truth set must not be selected based on extraction difficulty or correctness. Selection is purely stratified random: within each stratum defined above, decisions are drawn at random. The researcher constructing the ground truth must not have visibility into the automated extraction results until annotation is complete.</w:t>
      </w:r>
    </w:p>
    <w:p>
      <w:r>
        <w:br w:type="page"/>
      </w:r>
    </w:p>
    <w:p>
      <w:pPr>
        <w:pStyle w:val="Heading1"/>
      </w:pPr>
      <w:r>
        <w:t xml:space="preserve">5. Eval Architecture</w:t>
      </w:r>
    </w:p>
    <w:p>
      <w:pPr>
        <w:pStyle w:val="Heading2"/>
      </w:pPr>
      <w:r>
        <w:t xml:space="preserve">5.1 Two-Layer Eval Model</w:t>
      </w:r>
    </w:p>
    <w:p>
      <w:pPr>
        <w:spacing w:after="120"/>
      </w:pPr>
      <w:r>
        <w:t xml:space="preserve">The eval operates at two layers, mirroring the LCEE architecture’s distinction between the Semantic Stack (compiler) and the Open Brain (runtime).</w:t>
      </w:r>
    </w:p>
    <w:p>
      <w:pPr>
        <w:spacing w:after="120"/>
      </w:pPr>
      <w:r>
        <w:rPr>
          <w:b/>
          <w:bCs/>
        </w:rPr>
        <w:t xml:space="preserve">Layer 1 — Extraction Accuracy (pre-ingestion): </w:t>
      </w:r>
      <w:r>
        <w:t xml:space="preserve">Measures whether the extraction pipeline correctly identifies metadata fields from raw PDFs. This is a classical information extraction evaluation, run before any data enters dpa-retrieval.</w:t>
      </w:r>
    </w:p>
    <w:p>
      <w:pPr>
        <w:spacing w:after="120"/>
      </w:pPr>
      <w:r>
        <w:rPr>
          <w:b/>
          <w:bCs/>
        </w:rPr>
        <w:t xml:space="preserve">Layer 2 — Retrieval Fidelity (post-ingestion): </w:t>
      </w:r>
      <w:r>
        <w:t xml:space="preserve">Measures whether correctly extracted metadata produces correct retrieval behaviour in the Open Brain. This is the Retrieval Engineer’s P2-09/P5-03 benchmark, which depends on Layer 1 accuracy.</w:t>
      </w:r>
    </w:p>
    <w:p>
      <w:pPr>
        <w:spacing w:after="120"/>
      </w:pPr>
      <w:r>
        <w:t xml:space="preserve">The two layers are evaluated independently but connected: Layer 1 accuracy is a prerequisite for Layer 2 fidelity. If extraction accuracy drops below threshold, Layer 2 tests are expected to degrade proportionally.</w:t>
      </w:r>
    </w:p>
    <w:p>
      <w:pPr>
        <w:pStyle w:val="Heading2"/>
      </w:pPr>
      <w:r>
        <w:t xml:space="preserve">5.2 Layer 1: Extraction Eval Specification</w:t>
      </w:r>
    </w:p>
    <w:p>
      <w:pPr>
        <w:pStyle w:val="Heading3"/>
      </w:pPr>
      <w:r>
        <w:t xml:space="preserve">5.2.1 Metrics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800"/>
        <w:gridCol w:w="1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Secondary Metric</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Stratify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case_reference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Levenshtein distance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Fuzzy 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Normalised edit dist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Party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matrix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party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financial_penalty_sgd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MAPE for non-zero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band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obligations_breached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Label-set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Per-label recall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Label-set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positive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length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data_subjects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Within-10% 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Magnitude</w:t>
            </w:r>
          </w:p>
        </w:tc>
      </w:tr>
    </w:tbl>
    <w:p>
      <w:pPr>
        <w:pStyle w:val="Heading3"/>
      </w:pPr>
      <w:r>
        <w:t xml:space="preserve">5.2.2 Error Taxonomy</w:t>
      </w:r>
    </w:p>
    <w:p>
      <w:pPr>
        <w:spacing w:after="120"/>
      </w:pPr>
      <w:r>
        <w:t xml:space="preserve">Every extraction error must be classified into one of six error types, derived empirically from the PDPC v1→v2 correction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Variation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semantic content expressed in different notation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S$10,000 vs $10,000 vs SGD 10,000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Boilerplate Contamination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powers/jurisdiction text triggers false positive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penalty not exceeding $1M” triggers FP classification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Multi-Party Ambiguity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outcomes for different respondents in same decision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Party A: breach + penalty; Party B: no breach → misclassified as No Breach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Preliminary vs Final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Draft/preliminary value extracted instead of final determination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MBS: $450K preliminary → $315K final after representations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 Leakage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Keywords in discussion/analysis falsely trigger metadata tag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data” in a retail case triggers Healthcare industry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Format Drift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structure changes across publication eras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 decisions use “Commission has decided”; 2024 uses “hereby directs”</w:t>
            </w:r>
          </w:p>
        </w:tc>
      </w:tr>
    </w:tbl>
    <w:p>
      <w:pPr>
        <w:pStyle w:val="Heading2"/>
      </w:pPr>
      <w:r>
        <w:t xml:space="preserve">5.3 Layer 2: Retrieval Fidelity Eval</w:t>
      </w:r>
    </w:p>
    <w:p>
      <w:pPr>
        <w:spacing w:after="120"/>
      </w:pPr>
      <w:r>
        <w:t xml:space="preserve">Layer 2 uses the Retrieval Engineer’s test protocol (Workflow 1 from the ob-retrieval-engineer skill) applied specifically to regulatory decision chunks. It measures whether correctly extracted and ingested decisions are retrievable, correctly ranked, and properly filtered.</w:t>
      </w:r>
    </w:p>
    <w:p>
      <w:pPr>
        <w:pStyle w:val="Heading3"/>
      </w:pPr>
      <w:r>
        <w:t xml:space="preserve">5.3.1 Test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60"/>
        <w:gridCol w:w="2000"/>
        <w:gridCol w:w="23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Source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Depends On Field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PDPC decisions imposing financial penalties above $50,000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regdecision:pdpc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 penalty amount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Decisions finding breach of Protection Obligation in 2024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regdecision:pdpc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obligations + date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Healthcare sector enforcement actions under PDPA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regdecision:pdpc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 legislation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Ransomware-related PDPC decisions with penalties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regdecision:pdpc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breach_type + outcome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Multi-party PDPC decisions with mixed outcomes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regdecision:pdpc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 party structure</w:t>
            </w:r>
          </w:p>
        </w:tc>
      </w:tr>
    </w:tbl>
    <w:p>
      <w:r>
        <w:br w:type="page"/>
      </w:r>
    </w:p>
    <w:p>
      <w:pPr>
        <w:pStyle w:val="Heading1"/>
      </w:pPr>
      <w:r>
        <w:t xml:space="preserve">6. Pipeline Integration</w:t>
      </w:r>
    </w:p>
    <w:p>
      <w:pPr>
        <w:pStyle w:val="Heading2"/>
      </w:pPr>
      <w:r>
        <w:t xml:space="preserve">6.1 Position in the Universal Ingestion Pipeline</w:t>
      </w:r>
    </w:p>
    <w:p>
      <w:pPr>
        <w:spacing w:after="120"/>
      </w:pPr>
      <w:r>
        <w:t xml:space="preserve">The eval harness integrates at Stage 3 (Validate) of the Open Brain’s 5-stage universal ingestion pipeline: Extract → Transform → Validate → Load → Verify. It runs after transformation produces structured metadata and before any data enters dpa-retrieval.</w:t>
      </w:r>
    </w:p>
    <w:p>
      <w:pPr>
        <w:pStyle w:val="Heading3"/>
      </w:pPr>
      <w:r>
        <w:t xml:space="preserve">6.1.1 Gate Logic</w:t>
      </w:r>
    </w:p>
    <w:p>
      <w:pPr>
        <w:pStyle w:val="ListParagraph"/>
        <w:numPr>
          <w:ilvl w:val="0"/>
          <w:numId w:val="3"/>
        </w:numPr>
        <w:spacing w:after="80"/>
      </w:pPr>
      <w:r>
        <w:rPr>
          <w:b/>
          <w:bCs/>
        </w:rPr>
        <w:t xml:space="preserve">Hard gate: </w:t>
      </w:r>
      <w:r>
        <w:t xml:space="preserve">If any field’s accuracy on the ground truth sample falls below its threshold (see Section 5.2.1), the batch is blocked from ingestion. The pipeline logs the failure, identifies the specific error types (E1–E6), and routes to the extraction pattern maintainer for fix.</w:t>
      </w:r>
    </w:p>
    <w:p>
      <w:pPr>
        <w:pStyle w:val="ListParagraph"/>
        <w:numPr>
          <w:ilvl w:val="0"/>
          <w:numId w:val="3"/>
        </w:numPr>
        <w:spacing w:after="80"/>
      </w:pPr>
      <w:r>
        <w:rPr>
          <w:b/>
          <w:bCs/>
        </w:rPr>
        <w:t xml:space="preserve">Soft gate: </w:t>
      </w:r>
      <w:r>
        <w:t xml:space="preserve">If accuracy is above threshold but below target (e.g. 90% vs 95% target), the batch proceeds but a quality flag is attached to every chunk, visible in retrieval results. This allows the Retrieval Engineer to weight flagged chunks lower in ranking.</w:t>
      </w:r>
    </w:p>
    <w:p>
      <w:pPr>
        <w:pStyle w:val="ListParagraph"/>
        <w:numPr>
          <w:ilvl w:val="0"/>
          <w:numId w:val="3"/>
        </w:numPr>
        <w:spacing w:after="80"/>
      </w:pPr>
      <w:r>
        <w:rPr>
          <w:b/>
          <w:bCs/>
        </w:rPr>
        <w:t xml:space="preserve">Pass: </w:t>
      </w:r>
      <w:r>
        <w:t xml:space="preserve">All fields at or above target. Batch proceeds to Load stage with full confidence.</w:t>
      </w:r>
    </w:p>
    <w:p>
      <w:pPr>
        <w:pStyle w:val="Heading2"/>
      </w:pPr>
      <w:r>
        <w:t xml:space="preserve">6.2 Reusability Across Jurisdictions</w:t>
      </w:r>
    </w:p>
    <w:p>
      <w:pPr>
        <w:spacing w:after="120"/>
      </w:pPr>
      <w:r>
        <w:t xml:space="preserve">The eval framework is designed to be jurisdiction-agnostic at the structural level. The field definitions (outcome, penalty amount, obligations, etc.) are common across DPC Ireland, EDPS, ODPC Kenya, and PDPC Singapore. What varies is the ground truth annotation and the extraction patterns. To extend to a new jurisdiction:</w:t>
      </w:r>
    </w:p>
    <w:p>
      <w:pPr>
        <w:pStyle w:val="ListParagraph"/>
        <w:numPr>
          <w:ilvl w:val="0"/>
          <w:numId w:val="2"/>
        </w:numPr>
        <w:spacing w:after="80"/>
      </w:pPr>
      <w:r>
        <w:t xml:space="preserve">Annotate a ground truth sample of 30–60 decisions from the new jurisdiction</w:t>
      </w:r>
    </w:p>
    <w:p>
      <w:pPr>
        <w:pStyle w:val="ListParagraph"/>
        <w:numPr>
          <w:ilvl w:val="0"/>
          <w:numId w:val="2"/>
        </w:numPr>
        <w:spacing w:after="80"/>
      </w:pPr>
      <w:r>
        <w:t xml:space="preserve">Run the existing extraction patterns against the new corpus</w:t>
      </w:r>
    </w:p>
    <w:p>
      <w:pPr>
        <w:pStyle w:val="ListParagraph"/>
        <w:numPr>
          <w:ilvl w:val="0"/>
          <w:numId w:val="2"/>
        </w:numPr>
        <w:spacing w:after="80"/>
      </w:pPr>
      <w:r>
        <w:t xml:space="preserve">Evaluate accuracy per field using the same metrics and thresholds</w:t>
      </w:r>
    </w:p>
    <w:p>
      <w:pPr>
        <w:pStyle w:val="ListParagraph"/>
        <w:numPr>
          <w:ilvl w:val="0"/>
          <w:numId w:val="2"/>
        </w:numPr>
        <w:spacing w:after="80"/>
      </w:pPr>
      <w:r>
        <w:t xml:space="preserve">Adapt extraction patterns where accuracy falls below threshold</w:t>
      </w:r>
    </w:p>
    <w:p>
      <w:pPr>
        <w:pStyle w:val="ListParagraph"/>
        <w:numPr>
          <w:ilvl w:val="0"/>
          <w:numId w:val="2"/>
        </w:numPr>
        <w:spacing w:after="80"/>
      </w:pPr>
      <w:r>
        <w:t xml:space="preserve">Re-run eval to confirm improvement before production ingestion</w:t>
      </w:r>
    </w:p>
    <w:p>
      <w:pPr>
        <w:pStyle w:val="Heading1"/>
      </w:pPr>
      <w:r>
        <w:t xml:space="preserve">7.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000"/>
        <w:gridCol w:w="20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Stratified random selection of 60 ground truth decisions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Architect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ground_truth_sample.json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annotation of all 9 fields (dual annotator + adjudicator)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Architect + QA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ground_truth_annotated.json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eval harness (Python script computing all metrics per 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eval_harness.py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eval on current v2 extraction against ground truth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eval_report_v2.json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error distribution by type (E1–E6) and field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error_analysis.xlsx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extraction patterns for fields below 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extract_pdpc_v3.py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Re-run eval to confirm improvement (regression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eval_report_v3.json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eval harness into pipeline Validate stage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config update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Layer 2 retrieval fidelity tests (Q1–Q5)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Engineer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retrieval_test_report.md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baseline accuracy and publish eval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eval_spec_v1.0.docx</w:t>
            </w:r>
          </w:p>
        </w:tc>
      </w:tr>
    </w:tbl>
    <w:p>
      <w:pPr>
        <w:pStyle w:val="Heading1"/>
      </w:pPr>
      <w:r>
        <w:t xml:space="preserve">8. Limitations</w:t>
      </w:r>
    </w:p>
    <w:p>
      <w:pPr>
        <w:pStyle w:val="ListParagraph"/>
        <w:numPr>
          <w:ilvl w:val="0"/>
          <w:numId w:val="3"/>
        </w:numPr>
        <w:spacing w:after="100"/>
      </w:pPr>
      <w:r>
        <w:rPr>
          <w:b/>
          <w:bCs/>
        </w:rPr>
        <w:t xml:space="preserve">Single jurisdiction: </w:t>
      </w:r>
      <w:r>
        <w:t xml:space="preserve">The ground truth and error taxonomy are derived from PDPC decisions only. Accuracy thresholds may not transfer directly to DPC Ireland or EDPS, which use different templates and languages.</w:t>
      </w:r>
    </w:p>
    <w:p>
      <w:pPr>
        <w:pStyle w:val="ListParagraph"/>
        <w:numPr>
          <w:ilvl w:val="0"/>
          <w:numId w:val="3"/>
        </w:numPr>
        <w:spacing w:after="100"/>
      </w:pPr>
      <w:r>
        <w:rPr>
          <w:b/>
          <w:bCs/>
        </w:rPr>
        <w:t xml:space="preserve">Ground truth annotation cost: </w:t>
      </w:r>
      <w:r>
        <w:t xml:space="preserve">Manual annotation of 60 decisions across 9 fields is labour-intensive. A lighter-weight alternative (spot-checking 20 decisions) would reduce statistical power but may be acceptable for an initial baseline.</w:t>
      </w:r>
    </w:p>
    <w:p>
      <w:pPr>
        <w:pStyle w:val="ListParagraph"/>
        <w:numPr>
          <w:ilvl w:val="0"/>
          <w:numId w:val="3"/>
        </w:numPr>
        <w:spacing w:after="100"/>
      </w:pPr>
      <w:r>
        <w:rPr>
          <w:b/>
          <w:bCs/>
        </w:rPr>
        <w:t xml:space="preserve">Industry classification ceiling: </w:t>
      </w:r>
      <w:r>
        <w:t xml:space="preserve">Title-only keyword matching cannot classify companies without industry-indicating terms in their names. Improving beyond ~35% coverage requires either a company registry lookup or LLM-assisted classification, both of which add latency and cost.</w:t>
      </w:r>
    </w:p>
    <w:p>
      <w:pPr>
        <w:pStyle w:val="ListParagraph"/>
        <w:numPr>
          <w:ilvl w:val="0"/>
          <w:numId w:val="3"/>
        </w:numPr>
        <w:spacing w:after="100"/>
      </w:pPr>
      <w:r>
        <w:rPr>
          <w:b/>
          <w:bCs/>
        </w:rPr>
        <w:t xml:space="preserve">Temporal generalisability: </w:t>
      </w:r>
      <w:r>
        <w:t xml:space="preserve">Future PDPC decisions may adopt new formatting conventions. The eval harness detects this as accuracy degradation, but fixing it requires manual pattern updates. The framework does not self-heal.</w:t>
      </w:r>
    </w:p>
    <w:p>
      <w:pPr>
        <w:pStyle w:val="ListParagraph"/>
        <w:numPr>
          <w:ilvl w:val="0"/>
          <w:numId w:val="3"/>
        </w:numPr>
        <w:spacing w:after="100"/>
      </w:pPr>
      <w:r>
        <w:rPr>
          <w:b/>
          <w:bCs/>
        </w:rPr>
        <w:t xml:space="preserve">Preliminary vs final penalty: </w:t>
      </w:r>
      <w:r>
        <w:t xml:space="preserve">Only one decision (Marina Bay Sands) in the current corpus contained both preliminary and final penalty amounts. The eval cannot robustly measure accuracy on this dimension until more reconsideration decisions are published.</w:t>
      </w:r>
    </w:p>
    <w:p>
      <w:r>
        <w:br w:type="page"/>
      </w:r>
    </w:p>
    <w:p>
      <w:pPr>
        <w:pStyle w:val="Heading1"/>
      </w:pPr>
      <w:r>
        <w:t xml:space="preserve">Appendix A: Current Extraction Accuracy (Pre-Eval Baseline)</w:t>
      </w:r>
    </w:p>
    <w:p>
      <w:pPr>
        <w:spacing w:after="120"/>
      </w:pPr>
      <w:r>
        <w:t xml:space="preserve">The following statistics are from the v2 extraction run on the full PDPC corpus of 266 decisions. These are not ground-truth-validated accuracy figures; they represent the pipeline’s self-reported coverage rates. The eval framework described in this document will produce validated accuracy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Populated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264/266</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99.2%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decisions without standard SGPDPC citation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decision_date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266/266</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article JSON, not PDF extraction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266/266</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pattern extraction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256/266</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96.2%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remain as Other (genuinely ambiguous)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financial_penalty_sgd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152/152</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Financial Penalty outcomes have verified amounts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obligations_breached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266/266</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 body keyword matching; accuracy unvalidated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91/266</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34.2%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Title-only matching; many company names lack industry signal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breach_type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167/266</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62.8%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Section-scoped keyword matching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data_subjects_affected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124/266</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46.6%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decisions do not state affected count</w:t>
            </w:r>
          </w:p>
        </w:tc>
      </w:tr>
    </w:tbl>
    <w:p>
      <w:pPr>
        <w:spacing w:before="200"/>
      </w:pPr>
      <w:r>
        <w:rPr>
          <w:b/>
          <w:bCs/>
          <w:i/>
          <w:iCs/>
        </w:rPr>
        <w:t xml:space="preserve">Note: </w:t>
      </w:r>
      <w:r>
        <w:rPr>
          <w:i/>
          <w:iCs/>
        </w:rPr>
        <w:t xml:space="preserve">Coverage rate ≠ accuracy. A field may be populated but incorrect. The eval framework in this document will measure true accuracy against human-annotated ground truth.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color w:val="999999"/>
        <w:sz w:val="16"/>
        <w:szCs w:val="16"/>
      </w:rPr>
      <w:t xml:space="preserve">DESIGN PRIVACY ACADEMY</w:t>
    </w:r>
    <w:r>
      <w:rPr>
        <w:rFonts w:ascii="Arial" w:cs="Arial" w:eastAsia="Arial" w:hAnsi="Arial"/>
        <w:i/>
        <w:iCs/>
        <w:color w:val="999999"/>
        <w:sz w:val="16"/>
        <w:szCs w:val="16"/>
      </w:rPr>
      <w:t xml:space="preserve">	Open Brain Research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2026-04-05T17:41:10.990Z</dcterms:created>
  <dcterms:modified xsi:type="dcterms:W3CDTF">2026-04-05T17:41:10.990Z</dcterms:modified>
</cp:coreProperties>
</file>

<file path=docProps/custom.xml><?xml version="1.0" encoding="utf-8"?>
<Properties xmlns="http://schemas.openxmlformats.org/officeDocument/2006/custom-properties" xmlns:vt="http://schemas.openxmlformats.org/officeDocument/2006/docPropsVTypes"/>
</file>