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rPr>
        <w:t xml:space="preserve">The Horizon Between Us</w:t>
      </w:r>
    </w:p>
    <w:p>
      <w:pPr>
        <w:spacing w:after="400" w:before="0"/>
      </w:pPr>
      <w:r>
        <w:rPr>
          <w:i/>
          <w:iCs/>
          <w:color w:val="555555"/>
        </w:rPr>
        <w:t xml:space="preserve">Chukwuma I. Onyeije, MD, FACOG</w:t>
      </w:r>
    </w:p>
    <w:p>
      <w:pPr>
        <w:spacing w:after="160" w:before="0"/>
      </w:pPr>
      <w:r>
        <w:t xml:space="preserve">Two attending physicians. Same CT scan. Different reads.</w:t>
      </w:r>
    </w:p>
    <w:p>
      <w:pPr>
        <w:spacing w:after="160" w:before="0"/>
      </w:pPr>
      <w:r>
        <w:t xml:space="preserve">I’ve watched this happen more times than I can count. Both are trained. Both are looking at the same images on the same screen. One sees an incidental finding that warrants follow-up in six months — textbook, low risk, no action today. The other sees a pattern she recognizes from a case conference three years ago, a near-miss that stayed with her — and she wants to act now.</w:t>
      </w:r>
    </w:p>
    <w:p>
      <w:pPr>
        <w:spacing w:after="160" w:before="0"/>
      </w:pPr>
      <w:r>
        <w:t xml:space="preserve">Neither one is careless. Neither one is incompetent. They are not even, in any simple sense, </w:t>
      </w:r>
      <w:r>
        <w:rPr>
          <w:i/>
          <w:iCs/>
        </w:rPr>
        <w:t xml:space="preserve">disagreeing</w:t>
      </w:r>
      <w:r>
        <w:t xml:space="preserve">. They are reading the same data through different clinical experiences, different training institutions, different case libraries accumulated across years of practice. Their interpretations diverge not because the scan is ambiguous, but because </w:t>
      </w:r>
      <w:r>
        <w:rPr>
          <w:i/>
          <w:iCs/>
        </w:rPr>
        <w:t xml:space="preserve">they are</w:t>
      </w:r>
      <w:r>
        <w:t xml:space="preserve">.</w:t>
      </w:r>
    </w:p>
    <w:p>
      <w:pPr>
        <w:spacing w:after="160" w:before="0"/>
      </w:pPr>
      <w:r>
        <w:t xml:space="preserve">I did not expect that observation to become one of the most important things I’d carry into a theology classroom.</w:t>
      </w:r>
    </w:p>
    <w:p>
      <w:pPr>
        <w:pBdr>
          <w:bottom w:val="single" w:color="AAAAAA" w:sz="6" w:space="1"/>
        </w:pBdr>
        <w:spacing w:after="160" w:before="160"/>
      </w:pPr>
      <w:r>
        <w:t xml:space="preserve"/>
      </w:r>
    </w:p>
    <w:p>
      <w:pPr>
        <w:pStyle w:val="Heading2"/>
        <w:spacing w:after="160" w:before="320"/>
      </w:pPr>
      <w:r>
        <w:t xml:space="preserve">The Word That Comes From the God of Messages</w:t>
      </w:r>
    </w:p>
    <w:p>
      <w:pPr>
        <w:spacing w:after="160" w:before="0"/>
      </w:pPr>
      <w:r>
        <w:rPr>
          <w:i/>
          <w:iCs/>
        </w:rPr>
        <w:t xml:space="preserve">Hermeneutics</w:t>
      </w:r>
      <w:r>
        <w:t xml:space="preserve"> comes from Hermes — the Greek messenger of the gods, the one who carried meaning across worlds. The etymology is appropriate. Hermeneutics is the theory and methodology of interpretation: how we determine what things mean, especially in complex territory like sacred texts, legal documents, philosophical argument, and human behavior.</w:t>
      </w:r>
    </w:p>
    <w:p>
      <w:pPr>
        <w:spacing w:after="160" w:before="0"/>
      </w:pPr>
      <w:r>
        <w:t xml:space="preserve">For most of Western history, hermeneutics was Bible work. You needed principles for interpreting Scripture — rules for handling difficult passages, methods for reconciling apparent contradictions, ways of reading prophecy that didn’t produce chaos. The rabbis had it. The Church Fathers had it. The Reformers argued bitterly about it. </w:t>
      </w:r>
      <w:r>
        <w:rPr>
          <w:i/>
          <w:iCs/>
        </w:rPr>
        <w:t xml:space="preserve">Sola scriptura</w:t>
      </w:r>
      <w:r>
        <w:t xml:space="preserve"> was not just a rallying cry — it was a hermeneutical position. A claim about </w:t>
      </w:r>
      <w:r>
        <w:rPr>
          <w:i/>
          <w:iCs/>
        </w:rPr>
        <w:t xml:space="preserve">how</w:t>
      </w:r>
      <w:r>
        <w:t xml:space="preserve"> the Bible should be read, and by whom, and with what authority standing behind the reading.</w:t>
      </w:r>
    </w:p>
    <w:p>
      <w:pPr>
        <w:spacing w:after="160" w:before="0"/>
      </w:pPr>
      <w:r>
        <w:t xml:space="preserve">Then, in the nineteenth century, Friedrich Schleiermacher did something quietly revolutionary. He took the tools developed for biblical interpretation and asked: what if these same questions applied to </w:t>
      </w:r>
      <w:r>
        <w:rPr>
          <w:i/>
          <w:iCs/>
        </w:rPr>
        <w:t xml:space="preserve">all</w:t>
      </w:r>
      <w:r>
        <w:t xml:space="preserve"> human understanding? What if the challenge of reading a text — of moving from unfamiliar marks on a page to genuine comprehension — was not a problem unique to sacred scripture but a structural feature of understanding itself?</w:t>
      </w:r>
    </w:p>
    <w:p>
      <w:pPr>
        <w:spacing w:after="160" w:before="0"/>
      </w:pPr>
      <w:r>
        <w:t xml:space="preserve">Schleiermacher’s answer launched a field. Wilhelm Dilthey systematized it. Martin Heidegger radicalized it. And Hans-Georg Gadamer, writing in the middle of the twentieth century, gave us the concept I want to spend the most time with today.</w:t>
      </w:r>
    </w:p>
    <w:p>
      <w:pPr>
        <w:spacing w:after="160" w:before="0"/>
      </w:pPr>
      <w:r>
        <w:t xml:space="preserve">He called it the </w:t>
      </w:r>
      <w:r>
        <w:rPr>
          <w:i/>
          <w:iCs/>
        </w:rPr>
        <w:t xml:space="preserve">horizon</w:t>
      </w:r>
      <w:r>
        <w:t xml:space="preserve">.</w:t>
      </w:r>
    </w:p>
    <w:p>
      <w:pPr>
        <w:pBdr>
          <w:bottom w:val="single" w:color="AAAAAA" w:sz="6" w:space="1"/>
        </w:pBdr>
        <w:spacing w:after="160" w:before="160"/>
      </w:pPr>
      <w:r>
        <w:t xml:space="preserve"/>
      </w:r>
    </w:p>
    <w:p>
      <w:pPr>
        <w:pStyle w:val="Heading2"/>
        <w:spacing w:after="160" w:before="320"/>
      </w:pPr>
      <w:r>
        <w:t xml:space="preserve">What a Horizon Is (And Why You Can Never Fully Escape Yours)</w:t>
      </w:r>
    </w:p>
    <w:p>
      <w:pPr>
        <w:spacing w:after="160" w:before="0"/>
      </w:pPr>
      <w:r>
        <w:t xml:space="preserve">A horizon is not a barrier. It is not a wall someone built to keep you in. It is simply the limit of your field of vision from where you currently stand. Walk far enough in any direction, and your horizon moves with you. You never arrive at it. It is always defined by your position.</w:t>
      </w:r>
    </w:p>
    <w:p>
      <w:pPr>
        <w:spacing w:after="160" w:before="0"/>
      </w:pPr>
      <w:r>
        <w:t xml:space="preserve">Gadamer used this image to describe something he called our </w:t>
      </w:r>
      <w:r>
        <w:rPr>
          <w:i/>
          <w:iCs/>
        </w:rPr>
        <w:t xml:space="preserve">Vovrerständnis</w:t>
      </w:r>
      <w:r>
        <w:t xml:space="preserve"> — our pre-understanding, the totality of what we bring to any interpretive encounter before we have consciously begun. Our language. Our culture. Our upbringing. Our prior reading. Our wounds and our triumphs. Our education and our ignorance. Our assumptions about how the world works and what kind of things are possible within it.</w:t>
      </w:r>
    </w:p>
    <w:p>
      <w:pPr>
        <w:spacing w:after="160" w:before="0"/>
      </w:pPr>
      <w:r>
        <w:t xml:space="preserve">Every time you open a text — any text, including Scripture — you bring your entire life with you. You cannot help it. The idea of a purely neutral, context-free reading is not a high-minded aspiration. It is an impossibility. No one reads from nowhere.</w:t>
      </w:r>
    </w:p>
    <w:p>
      <w:pPr>
        <w:spacing w:after="160" w:before="0"/>
      </w:pPr>
      <w:r>
        <w:t xml:space="preserve">This is not relativism. Gadamer is not saying that all interpretations are equally valid, that your horizon is as good as anyone else’s, that truth is simply a function of perspective. He is saying something more precise and more useful: that the process of interpretation always involves the meeting of two horizons — the horizon of the text, with its own historical situatedness and original intent, and the horizon of the reader, with all their pre-understandings intact.</w:t>
      </w:r>
    </w:p>
    <w:p>
      <w:pPr>
        <w:spacing w:after="160" w:before="0"/>
      </w:pPr>
      <w:r>
        <w:t xml:space="preserve">He called genuine interpretation a </w:t>
      </w:r>
      <w:r>
        <w:rPr>
          <w:i/>
          <w:iCs/>
        </w:rPr>
        <w:t xml:space="preserve">Horizontverschmelzung</w:t>
      </w:r>
      <w:r>
        <w:t xml:space="preserve">.</w:t>
      </w:r>
    </w:p>
    <w:p>
      <w:pPr>
        <w:spacing w:after="160" w:before="0"/>
      </w:pPr>
      <w:r>
        <w:t xml:space="preserve">A fusion of horizons.</w:t>
      </w:r>
    </w:p>
    <w:p>
      <w:pPr>
        <w:spacing w:after="160" w:before="0"/>
      </w:pPr>
      <w:r>
        <w:t xml:space="preserve">Not the elimination of difference. Not the surrender of one perspective to another. But the productive, truth-generating encounter between them — where the reader is changed by the text and, in a real sense, the text’s meaning is disclosed anew in the encounter with this particular reader at this particular moment.</w:t>
      </w:r>
    </w:p>
    <w:p>
      <w:pPr>
        <w:pBdr>
          <w:bottom w:val="single" w:color="AAAAAA" w:sz="6" w:space="1"/>
        </w:pBdr>
        <w:spacing w:after="160" w:before="160"/>
      </w:pPr>
      <w:r>
        <w:t xml:space="preserve"/>
      </w:r>
    </w:p>
    <w:p>
      <w:pPr>
        <w:pStyle w:val="Heading2"/>
        <w:spacing w:after="160" w:before="320"/>
      </w:pPr>
      <w:r>
        <w:t xml:space="preserve">The Hermeneutic Circle That Never Stops Turning</w:t>
      </w:r>
    </w:p>
    <w:p>
      <w:pPr>
        <w:spacing w:after="160" w:before="0"/>
      </w:pPr>
      <w:r>
        <w:t xml:space="preserve">Before we go further, I need to name something that feels paradoxical the first time you encounter it and obvious the second.</w:t>
      </w:r>
    </w:p>
    <w:p>
      <w:pPr>
        <w:spacing w:after="160" w:before="0"/>
      </w:pPr>
      <w:r>
        <w:t xml:space="preserve">You cannot understand a whole text without understanding its individual parts. But you cannot understand any individual part without some grasp of the whole that gives it meaning. The word </w:t>
      </w:r>
      <w:r>
        <w:rPr>
          <w:i/>
          <w:iCs/>
        </w:rPr>
        <w:t xml:space="preserve">grace</w:t>
      </w:r>
      <w:r>
        <w:t xml:space="preserve"> in Galatians means something different than </w:t>
      </w:r>
      <w:r>
        <w:rPr>
          <w:i/>
          <w:iCs/>
        </w:rPr>
        <w:t xml:space="preserve">grace</w:t>
      </w:r>
      <w:r>
        <w:t xml:space="preserve"> in a Victorian novel — not because the letters are arranged differently, but because the </w:t>
      </w:r>
      <w:r>
        <w:rPr>
          <w:i/>
          <w:iCs/>
        </w:rPr>
        <w:t xml:space="preserve">whole</w:t>
      </w:r>
      <w:r>
        <w:t xml:space="preserve"> in which it appears shapes every part’s meaning from the inside out.</w:t>
      </w:r>
    </w:p>
    <w:p>
      <w:pPr>
        <w:spacing w:after="160" w:before="0"/>
      </w:pPr>
      <w:r>
        <w:t xml:space="preserve">Theologians and philosophers call this the </w:t>
      </w:r>
      <w:r>
        <w:rPr>
          <w:i/>
          <w:iCs/>
        </w:rPr>
        <w:t xml:space="preserve">hermeneutic circle</w:t>
      </w:r>
      <w:r>
        <w:t xml:space="preserve">. It is not a vicious circle in the logical sense — it does not trap you in an endless loop. It is, rather, a spiral. Each pass through the parts enriches your understanding of the whole. Each deepened understanding of the whole sends you back to the parts with better questions, sharper eyes, a wider frame.</w:t>
      </w:r>
    </w:p>
    <w:p>
      <w:pPr>
        <w:spacing w:after="160" w:before="0"/>
      </w:pPr>
      <w:r>
        <w:t xml:space="preserve">This is why re-reading Scripture is not redundant. You are not the same reader you were before. Your horizon has shifted — through lived experience, through loss, through the accumulation of years that add freight to words that once felt weightless. The text speaks differently because you are standing somewhere new.</w:t>
      </w:r>
    </w:p>
    <w:p>
      <w:pPr>
        <w:spacing w:after="160" w:before="0"/>
      </w:pPr>
      <w:r>
        <w:t xml:space="preserve">A congregation full of people who have all read Romans a hundred times is not a congregation with nothing left to discover. It is a room full of different horizons, each of which the text has been speaking to in particular ways. The conversation in that room — when it is honest — is one of the most productive hermeneutical spaces on earth.</w:t>
      </w:r>
    </w:p>
    <w:p>
      <w:pPr>
        <w:pBdr>
          <w:bottom w:val="single" w:color="AAAAAA" w:sz="6" w:space="1"/>
        </w:pBdr>
        <w:spacing w:after="160" w:before="160"/>
      </w:pPr>
      <w:r>
        <w:t xml:space="preserve"/>
      </w:r>
    </w:p>
    <w:p>
      <w:pPr>
        <w:pStyle w:val="Heading2"/>
        <w:spacing w:after="160" w:before="320"/>
      </w:pPr>
      <w:r>
        <w:t xml:space="preserve">What the Physician Knows About This</w:t>
      </w:r>
    </w:p>
    <w:p>
      <w:pPr>
        <w:spacing w:after="160" w:before="0"/>
      </w:pPr>
      <w:r>
        <w:t xml:space="preserve">Let me come back to the CT scan.</w:t>
      </w:r>
    </w:p>
    <w:p>
      <w:pPr>
        <w:spacing w:after="160" w:before="0"/>
      </w:pPr>
      <w:r>
        <w:t xml:space="preserve">Clinical diagnosis is a hermeneutical exercise. The physician encounters a set of data — a presenting complaint, a physical exam finding, a laboratory value, an imaging study — and must move from those raw signs toward a coherent interpretation: a diagnosis. But the signs do not interpret themselves. They are read through a framework. That framework is called clinical judgment, and it is built from years of training, pattern recognition, prior cases, and — critically — from the physician’s own horizon.</w:t>
      </w:r>
    </w:p>
    <w:p>
      <w:pPr>
        <w:spacing w:after="160" w:before="0"/>
      </w:pPr>
      <w:r>
        <w:t xml:space="preserve">A generalist and a subspecialist reading the same elevated CA-125 will interpret it differently. Not because the number means something different in isolation, but because each brings a different case library, a different set of diagnostic priors, a different pre-understanding of what this pattern tends to mean in a patient of this profile. The generalist’s horizon is broader and shallower; the subspecialist’s is narrower and deeper. Neither one is complete. The best outcome often involves them talking to each other.</w:t>
      </w:r>
    </w:p>
    <w:p>
      <w:pPr>
        <w:spacing w:after="160" w:before="0"/>
      </w:pPr>
      <w:r>
        <w:t xml:space="preserve">This is not a flaw in medicine. It is medicine. The goal is not to eliminate the interpreter — that is not possible, and the attempt produces dangerous overconfidence. The goal is to cultivate an interpreter whose horizon is as rich, as accurate, and as self-aware as possible. Good clinical training is, among other things, training in what I would call epistemological humility: learning to hold your working diagnosis with appropriate tentativeness, to seek consultation when the picture isn’t resolving, to remain genuinely open to the finding that contradicts your theory.</w:t>
      </w:r>
    </w:p>
    <w:p>
      <w:pPr>
        <w:spacing w:after="160" w:before="0"/>
      </w:pPr>
      <w:r>
        <w:t xml:space="preserve">The physician who cannot be surprised by her own patient is dangerous.</w:t>
      </w:r>
    </w:p>
    <w:p>
      <w:pPr>
        <w:spacing w:after="160" w:before="0"/>
      </w:pPr>
      <w:r>
        <w:t xml:space="preserve">The theologian who cannot be surprised by her own text is in a similar position.</w:t>
      </w:r>
    </w:p>
    <w:p>
      <w:pPr>
        <w:pBdr>
          <w:bottom w:val="single" w:color="AAAAAA" w:sz="6" w:space="1"/>
        </w:pBdr>
        <w:spacing w:after="160" w:before="160"/>
      </w:pPr>
      <w:r>
        <w:t xml:space="preserve"/>
      </w:r>
    </w:p>
    <w:p>
      <w:pPr>
        <w:pStyle w:val="Heading2"/>
        <w:spacing w:after="160" w:before="320"/>
      </w:pPr>
      <w:r>
        <w:t xml:space="preserve">The Theological Horizon Problem (And Why It’s Personal)</w:t>
      </w:r>
    </w:p>
    <w:p>
      <w:pPr>
        <w:spacing w:after="160" w:before="0"/>
      </w:pPr>
      <w:r>
        <w:t xml:space="preserve">I want to spend time here, because this is where I actually live.</w:t>
      </w:r>
    </w:p>
    <w:p>
      <w:pPr>
        <w:spacing w:after="160" w:before="0"/>
      </w:pPr>
      <w:r>
        <w:t xml:space="preserve">I am a Seventh-day Adventist. That is not incidental background information. It is a hermeneutical position. When I read the book of Daniel, I read it through 180 years of Adventist engagement with that text — the 2300-day prophecy, the sanctuary doctrine, the post-1844 framework that shaped this denomination’s entire self-understanding. When I read Revelation 13, I read it through the Great Controversy worldview: a cosmic conflict between Christ and Satan, playing out across human history, reaching its climax in a religious-political crisis centered on worship and law.</w:t>
      </w:r>
    </w:p>
    <w:p>
      <w:pPr>
        <w:spacing w:after="160" w:before="0"/>
      </w:pPr>
      <w:r>
        <w:t xml:space="preserve">That is my horizon. I did not choose it from a menu. I was formed by it — by Sabbath School teachers and camp meeting preachers, by Ellen White’s penetrating prose and the peculiar earnestness of Adventist prophetic culture. And I would be dishonest if I claimed I could read Revelation 13 without it.</w:t>
      </w:r>
    </w:p>
    <w:p>
      <w:pPr>
        <w:spacing w:after="160" w:before="0"/>
      </w:pPr>
      <w:r>
        <w:t xml:space="preserve">Now. When I sit across a table from a non-Adventist Christian — a Baptist pastor, a Reformed scholar, a thoughtful Roman Catholic — and we open the same Bible to the same passage, we are not bringing the same horizon to the text. We are bringing different pre-understandings, shaped by different traditions, different confessional communities, different interpretive histories. And the same words will land differently.</w:t>
      </w:r>
    </w:p>
    <w:p>
      <w:pPr>
        <w:spacing w:after="160" w:before="0"/>
      </w:pPr>
      <w:r>
        <w:t xml:space="preserve">The temptation, on both sides, is to assume the other person is simply </w:t>
      </w:r>
      <w:r>
        <w:rPr>
          <w:i/>
          <w:iCs/>
        </w:rPr>
        <w:t xml:space="preserve">not reading carefully enough</w:t>
      </w:r>
      <w:r>
        <w:t xml:space="preserve">. That if they would just look at the text more closely — slow down, pay attention, follow the logic — they would see what I see. But this misses Gadamer’s point entirely. The difference is not primarily about attention or intelligence. It is about horizon. And a horizon cannot be corrected merely by instructing someone to look harder at what’s right in front of them.</w:t>
      </w:r>
    </w:p>
    <w:p>
      <w:pPr>
        <w:spacing w:after="160" w:before="0"/>
      </w:pPr>
      <w:r>
        <w:t xml:space="preserve">Here is where I have to implicate myself.</w:t>
      </w:r>
    </w:p>
    <w:p>
      <w:pPr>
        <w:spacing w:after="160" w:before="0"/>
      </w:pPr>
      <w:r>
        <w:t xml:space="preserve">I have, in theological discussions — more times than I am comfortable admitting — been so confident in my hermeneutical framework that I was not actually listening. I was waiting for the other person to catch up to where I already was. I was not in dialogue. I was performing dialogue while conducting a monologue. I was present in the room and absent from the conversation.</w:t>
      </w:r>
    </w:p>
    <w:p>
      <w:pPr>
        <w:spacing w:after="160" w:before="0"/>
      </w:pPr>
      <w:r>
        <w:t xml:space="preserve">That is not a fusion of horizons. That is a monologue with a polite audience.</w:t>
      </w:r>
    </w:p>
    <w:p>
      <w:pPr>
        <w:pBdr>
          <w:bottom w:val="single" w:color="AAAAAA" w:sz="6" w:space="1"/>
        </w:pBdr>
        <w:spacing w:after="160" w:before="160"/>
      </w:pPr>
      <w:r>
        <w:t xml:space="preserve"/>
      </w:r>
    </w:p>
    <w:p>
      <w:pPr>
        <w:pStyle w:val="Heading2"/>
        <w:spacing w:after="160" w:before="320"/>
      </w:pPr>
      <w:r>
        <w:t xml:space="preserve">The Adventist–Non-Adventist Conversation (And Its Particular Difficulty)</w:t>
      </w:r>
    </w:p>
    <w:p>
      <w:pPr>
        <w:spacing w:after="160" w:before="0"/>
      </w:pPr>
      <w:r>
        <w:t xml:space="preserve">This matters in a specific way for the cross-denominational conversations I find myself in regularly.</w:t>
      </w:r>
    </w:p>
    <w:p>
      <w:pPr>
        <w:spacing w:after="160" w:before="0"/>
      </w:pPr>
      <w:r>
        <w:t xml:space="preserve">Non-Adventists often encounter Adventist theology as strange, detailed to excess, weighted with prophetic specificity that feels like motivated reasoning. The 2300 days. The investigative judgment. The historical-prophetic framework that places the Sabbath-Sunday question at the center of end-time events. From outside our horizon, this can look like institutional mythology, proof-texting dressed as exegesis, a tradition that arrived at its conclusions before it read its texts.</w:t>
      </w:r>
    </w:p>
    <w:p>
      <w:pPr>
        <w:spacing w:after="160" w:before="0"/>
      </w:pPr>
      <w:r>
        <w:t xml:space="preserve">I understand that read. I am not dismissing it.</w:t>
      </w:r>
    </w:p>
    <w:p>
      <w:pPr>
        <w:spacing w:after="160" w:before="0"/>
      </w:pPr>
      <w:r>
        <w:t xml:space="preserve">What I want to ask is whether the conversation might go differently if both parties named their hermeneutical situation honestly. The Baptist scholar who finds Adventist prophecy implausible is also reading from a horizon — one shaped by a tradition that resolved the post-apostolic prophetic question very differently, that carries its own set of pre-understandings about how Revelation is to be read, what Daniel means, and what the church’s relationship to history should be. The secular skeptic who finds all of it incoherent is reading from a horizon that pre-emptively forecloses certain categories of meaning as inadmissible. These are not neutral starting points.</w:t>
      </w:r>
    </w:p>
    <w:p>
      <w:pPr>
        <w:spacing w:after="160" w:before="0"/>
      </w:pPr>
      <w:r>
        <w:t xml:space="preserve">Every reader has a horizon. The question is not whether you bring one. The question is whether you know you’re bringing it.</w:t>
      </w:r>
    </w:p>
    <w:p>
      <w:pPr>
        <w:spacing w:after="160" w:before="0"/>
      </w:pPr>
      <w:r>
        <w:t xml:space="preserve">There is a phrase in Paul’s letter to Rome that I return to often in these conversations. In Romans 14, addressing Christians who disagree on matters of practice, he writes: </w:t>
      </w:r>
      <w:r>
        <w:rPr>
          <w:i/>
          <w:iCs/>
        </w:rPr>
        <w:t xml:space="preserve">“Let each one be fully convinced in his own mind.”</w:t>
      </w:r>
      <w:r>
        <w:t xml:space="preserve"> The Greek word is </w:t>
      </w:r>
      <w:r>
        <w:rPr>
          <w:i/>
          <w:iCs/>
        </w:rPr>
        <w:t xml:space="preserve">plērophorēō</w:t>
      </w:r>
      <w:r>
        <w:t xml:space="preserve"> — to be completely carried forward, to be fully persuaded. It is not a call to relativism. It is a call to </w:t>
      </w:r>
      <w:r>
        <w:rPr>
          <w:i/>
          <w:iCs/>
        </w:rPr>
        <w:t xml:space="preserve">conscious</w:t>
      </w:r>
      <w:r>
        <w:t xml:space="preserve"> conviction — to knowing why you believe what you believe, holding that belief with the integrity that comes from examined rather than inherited faith.</w:t>
      </w:r>
    </w:p>
    <w:p>
      <w:pPr>
        <w:spacing w:after="160" w:before="0"/>
      </w:pPr>
      <w:r>
        <w:t xml:space="preserve">Examined faith requires engaging your own horizon, not just the other person’s. It requires the courage to ask: what am I bringing to this text that the text itself did not give me?</w:t>
      </w:r>
    </w:p>
    <w:p>
      <w:pPr>
        <w:pBdr>
          <w:bottom w:val="single" w:color="AAAAAA" w:sz="6" w:space="1"/>
        </w:pBdr>
        <w:spacing w:after="160" w:before="160"/>
      </w:pPr>
      <w:r>
        <w:t xml:space="preserve"/>
      </w:r>
    </w:p>
    <w:p>
      <w:pPr>
        <w:pStyle w:val="Heading2"/>
        <w:spacing w:after="160" w:before="320"/>
      </w:pPr>
      <w:r>
        <w:t xml:space="preserve">A Framework for Crossing the Distance</w:t>
      </w:r>
    </w:p>
    <w:p>
      <w:pPr>
        <w:spacing w:after="160" w:before="0"/>
      </w:pPr>
      <w:r>
        <w:t xml:space="preserve">So what do we actually do with this?</w:t>
      </w:r>
    </w:p>
    <w:p>
      <w:pPr>
        <w:spacing w:after="160" w:before="0"/>
      </w:pPr>
      <w:r>
        <w:t xml:space="preserve">I am not offering a formula. The hermeneutic circle does not resolve into a checklist; it deepens with each pass. But I want to name four postures that have served me in the clinic and in the theology room with roughly equal force.</w:t>
      </w:r>
    </w:p>
    <w:p>
      <w:pPr>
        <w:spacing w:after="160" w:before="0"/>
      </w:pPr>
      <w:r>
        <w:rPr>
          <w:b/>
          <w:bCs/>
        </w:rPr>
        <w:t xml:space="preserve">Name your pre-understandings before you begin.</w:t>
      </w:r>
      <w:r>
        <w:t xml:space="preserve"> In clinical medicine, this is called making your differential explicit. You do not pretend you have no working hypothesis — that is neither possible nor honest. You name it, hold it with appropriate tentativeness, and test it against incoming data. Do the same in theological conversation. Know what you’re bringing. Say it out loud when you can.</w:t>
      </w:r>
    </w:p>
    <w:p>
      <w:pPr>
        <w:spacing w:after="160" w:before="0"/>
      </w:pPr>
      <w:r>
        <w:rPr>
          <w:b/>
          <w:bCs/>
        </w:rPr>
        <w:t xml:space="preserve">Let the parts and the whole argue with each other.</w:t>
      </w:r>
      <w:r>
        <w:t xml:space="preserve"> Do not flatten Scripture into a proof-text arsenal. Do not read one passage in isolation from the canonical context that gives it shape. And do not read the canonical whole in a way that never returns to the granular particulars of a specific text’s own claims, silences, and tensions. Let the circle turn. Let a difficult passage unsettle a confident system. Let a coherent system illumine a confusing passage. The discomfort of that movement is not a sign that something is wrong. It is often the sign that something is happening.</w:t>
      </w:r>
    </w:p>
    <w:p>
      <w:pPr>
        <w:spacing w:after="160" w:before="0"/>
      </w:pPr>
      <w:r>
        <w:rPr>
          <w:b/>
          <w:bCs/>
        </w:rPr>
        <w:t xml:space="preserve">Seek genuine encounter, not confirmation.</w:t>
      </w:r>
      <w:r>
        <w:t xml:space="preserve"> When you are in conversation with someone who reads differently, your goal is not to win. It is to understand their horizon well enough that you can see </w:t>
      </w:r>
      <w:r>
        <w:rPr>
          <w:i/>
          <w:iCs/>
        </w:rPr>
        <w:t xml:space="preserve">why</w:t>
      </w:r>
      <w:r>
        <w:t xml:space="preserve"> they read what they read — what prior experiences, what formative texts, what confessional commitments make their interpretation internally coherent. This does not mean endorsing their conclusion. It means understanding its logic. That is the only starting point for meaningful correction — or for meaningful change in yourself.</w:t>
      </w:r>
    </w:p>
    <w:p>
      <w:pPr>
        <w:spacing w:after="160" w:before="0"/>
      </w:pPr>
      <w:r>
        <w:rPr>
          <w:b/>
          <w:bCs/>
        </w:rPr>
        <w:t xml:space="preserve">Hold conviction and humility as a pair, not as opposites.</w:t>
      </w:r>
      <w:r>
        <w:t xml:space="preserve"> The physician who holds her diagnosis with appropriate tentativeness is not an uncertain physician. She is an honest one. She has learned, sometimes at cost, that the clinical picture can surprise you, that the unexpected finding is often the most important one. The theologian who holds convictions while remaining genuinely open to better reading of the evidence is not a weak theologian. She is a truthful one. Certainty purchased by closing the conversation is not faith. It is defensiveness wearing faith’s clothing.</w:t>
      </w:r>
    </w:p>
    <w:p>
      <w:pPr>
        <w:pBdr>
          <w:bottom w:val="single" w:color="AAAAAA" w:sz="6" w:space="1"/>
        </w:pBdr>
        <w:spacing w:after="160" w:before="160"/>
      </w:pPr>
      <w:r>
        <w:t xml:space="preserve"/>
      </w:r>
    </w:p>
    <w:p>
      <w:pPr>
        <w:pStyle w:val="Heading2"/>
        <w:spacing w:after="160" w:before="320"/>
      </w:pPr>
      <w:r>
        <w:t xml:space="preserve">What the Text Does on the Best Days</w:t>
      </w:r>
    </w:p>
    <w:p>
      <w:pPr>
        <w:spacing w:after="160" w:before="0"/>
      </w:pPr>
      <w:r>
        <w:t xml:space="preserve">Gadamer argued that a text from the past speaks to a present reader across a historical distance — and that this distance, rather than being an obstacle to be collapsed, is actually productive. The reader cannot pretend they are a first-century Palestinian hearing the Sermon on the Mount in real time. But they can allow the strangeness of the text, its historical otherness, to ask questions of their present world that their present world would not know to ask of itself.</w:t>
      </w:r>
    </w:p>
    <w:p>
      <w:pPr>
        <w:spacing w:after="160" w:before="0"/>
      </w:pPr>
      <w:r>
        <w:t xml:space="preserve">That is what Scripture does to me on the best days.</w:t>
      </w:r>
    </w:p>
    <w:p>
      <w:pPr>
        <w:spacing w:after="160" w:before="0"/>
      </w:pPr>
      <w:r>
        <w:t xml:space="preserve">Not confirm what I already believed. Not provide ammunition for arguments I was already winning. But stand at sufficient distance from my horizon to say: </w:t>
      </w:r>
      <w:r>
        <w:rPr>
          <w:i/>
          <w:iCs/>
        </w:rPr>
        <w:t xml:space="preserve">you have not seen everything from where you stand. The field is wider than your view of it. Come further.</w:t>
      </w:r>
    </w:p>
    <w:p>
      <w:pPr>
        <w:spacing w:after="160" w:before="160"/>
        <w:ind w:left="720" w:right="720"/>
      </w:pPr>
      <w:r>
        <w:t xml:space="preserve">Ellen White, writing about the danger of a closed hermeneutical posture, puts it with her characteristic directness: “Those who are too wise in their own conceit to study the Bible humbly, seeking to know God’s will, will not find the truth.” (</w:t>
      </w:r>
      <w:r>
        <w:rPr>
          <w:i/>
          <w:iCs/>
        </w:rPr>
        <w:t xml:space="preserve">Testimonies for the Church</w:t>
      </w:r>
      <w:r>
        <w:t xml:space="preserve">, Vol. 5, p. 703.) She is describing a failure of interpretation that is also a failure of humility — the horizon mistaken for the totality of the visible world.</w:t>
      </w:r>
    </w:p>
    <w:p>
      <w:pPr>
        <w:spacing w:after="160" w:before="0"/>
      </w:pPr>
      <w:r>
        <w:t xml:space="preserve">The horizon is not the world. It is the edge of what you can see from here.</w:t>
      </w:r>
    </w:p>
    <w:p>
      <w:pPr>
        <w:spacing w:after="160" w:before="0"/>
      </w:pPr>
      <w:r>
        <w:t xml:space="preserve">Two physicians. Same scan. Different reads.</w:t>
      </w:r>
    </w:p>
    <w:p>
      <w:pPr>
        <w:spacing w:after="160" w:before="0"/>
      </w:pPr>
      <w:r>
        <w:t xml:space="preserve">They should talk to each other.</w:t>
      </w:r>
    </w:p>
    <w:p>
      <w:pPr>
        <w:spacing w:after="160" w:before="0"/>
      </w:pPr>
      <w:r>
        <w:t xml:space="preserve">So should we.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60" w:before="400"/>
      <w:outlineLvl w:val="1"/>
    </w:pPr>
    <w:rPr>
      <w:rFonts w:ascii="Georgia" w:cs="Georgia" w:eastAsia="Georgia" w:hAnsi="Georgia"/>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2026-04-13T12:53:08.439Z</dcterms:created>
  <dcterms:modified xsi:type="dcterms:W3CDTF">2026-04-13T12:53:08.440Z</dcterms:modified>
</cp:coreProperties>
</file>

<file path=docProps/custom.xml><?xml version="1.0" encoding="utf-8"?>
<Properties xmlns="http://schemas.openxmlformats.org/officeDocument/2006/custom-properties" xmlns:vt="http://schemas.openxmlformats.org/officeDocument/2006/docPropsVTypes"/>
</file>