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08C6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803" w:firstLineChars="200"/>
        <w:jc w:val="center"/>
        <w:textAlignment w:val="auto"/>
        <w:rPr>
          <w:rFonts w:hint="eastAsia" w:ascii="黑体" w:hAnsi="黑体" w:eastAsia="黑体" w:cs="黑体"/>
          <w:b/>
          <w:sz w:val="40"/>
          <w:szCs w:val="40"/>
        </w:rPr>
      </w:pPr>
      <w:r>
        <w:rPr>
          <w:rFonts w:hint="eastAsia" w:ascii="黑体" w:hAnsi="黑体" w:eastAsia="黑体" w:cs="黑体"/>
          <w:b/>
          <w:sz w:val="40"/>
          <w:szCs w:val="40"/>
        </w:rPr>
        <w:t>战略赋能·融能致远</w:t>
      </w:r>
    </w:p>
    <w:p w14:paraId="130897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803" w:firstLineChars="200"/>
        <w:jc w:val="center"/>
        <w:textAlignment w:val="auto"/>
        <w:rPr>
          <w:rFonts w:hint="eastAsia" w:ascii="黑体" w:hAnsi="黑体" w:eastAsia="黑体" w:cs="黑体"/>
          <w:b/>
          <w:sz w:val="40"/>
          <w:szCs w:val="40"/>
        </w:rPr>
      </w:pPr>
      <w:r>
        <w:rPr>
          <w:rFonts w:hint="eastAsia" w:ascii="黑体" w:hAnsi="黑体" w:eastAsia="黑体" w:cs="黑体"/>
          <w:b/>
          <w:sz w:val="40"/>
          <w:szCs w:val="40"/>
        </w:rPr>
        <w:t>深圳光谧交能科技有限公司</w:t>
      </w:r>
    </w:p>
    <w:p w14:paraId="5C18A1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803" w:firstLineChars="200"/>
        <w:jc w:val="center"/>
        <w:textAlignment w:val="auto"/>
        <w:rPr>
          <w:rFonts w:hint="eastAsia" w:ascii="黑体" w:hAnsi="黑体" w:eastAsia="黑体" w:cs="黑体"/>
          <w:sz w:val="40"/>
          <w:szCs w:val="40"/>
        </w:rPr>
      </w:pPr>
      <w:r>
        <w:rPr>
          <w:rFonts w:hint="eastAsia" w:ascii="黑体" w:hAnsi="黑体" w:eastAsia="黑体" w:cs="黑体"/>
          <w:b/>
          <w:sz w:val="40"/>
          <w:szCs w:val="40"/>
        </w:rPr>
        <w:t xml:space="preserve"> 高速公路交能融合一体化解决方案服务商</w:t>
      </w:r>
    </w:p>
    <w:p w14:paraId="6AD316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80" w:after="140" w:line="360" w:lineRule="auto"/>
        <w:jc w:val="left"/>
        <w:textAlignment w:val="auto"/>
        <w:outlineLvl w:val="0"/>
        <w:rPr>
          <w:sz w:val="28"/>
          <w:szCs w:val="28"/>
        </w:rPr>
      </w:pPr>
      <w:bookmarkStart w:id="0" w:name="heading_0"/>
      <w:r>
        <w:rPr>
          <w:rFonts w:ascii="Arial" w:hAnsi="Arial" w:eastAsia="等线" w:cs="Arial"/>
          <w:b/>
          <w:sz w:val="28"/>
          <w:szCs w:val="28"/>
        </w:rPr>
        <w:t>封面</w:t>
      </w:r>
      <w:bookmarkEnd w:id="0"/>
    </w:p>
    <w:p w14:paraId="75DD46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560" w:firstLineChars="200"/>
        <w:jc w:val="left"/>
        <w:textAlignment w:val="auto"/>
        <w:rPr>
          <w:sz w:val="28"/>
          <w:szCs w:val="28"/>
        </w:rPr>
      </w:pPr>
      <w:r>
        <w:rPr>
          <w:rFonts w:ascii="Arial" w:hAnsi="Arial" w:eastAsia="等线" w:cs="Arial"/>
          <w:sz w:val="28"/>
          <w:szCs w:val="28"/>
        </w:rPr>
        <w:t>【深圳光谧交能科技有限公司 LOGO】</w:t>
      </w:r>
    </w:p>
    <w:p w14:paraId="0D556A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560" w:firstLineChars="200"/>
        <w:jc w:val="left"/>
        <w:textAlignment w:val="auto"/>
        <w:rPr>
          <w:sz w:val="28"/>
          <w:szCs w:val="28"/>
        </w:rPr>
      </w:pPr>
      <w:r>
        <w:rPr>
          <w:rFonts w:ascii="Arial" w:hAnsi="Arial" w:eastAsia="等线" w:cs="Arial"/>
          <w:sz w:val="28"/>
          <w:szCs w:val="28"/>
        </w:rPr>
        <w:t>深圳光谧交能科技有限公司</w:t>
      </w:r>
    </w:p>
    <w:p w14:paraId="364994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560" w:firstLineChars="200"/>
        <w:jc w:val="left"/>
        <w:textAlignment w:val="auto"/>
        <w:rPr>
          <w:sz w:val="28"/>
          <w:szCs w:val="28"/>
        </w:rPr>
      </w:pPr>
      <w:r>
        <w:rPr>
          <w:rFonts w:ascii="Arial" w:hAnsi="Arial" w:eastAsia="等线" w:cs="Arial"/>
          <w:sz w:val="28"/>
          <w:szCs w:val="28"/>
        </w:rPr>
        <w:t>响应双碳战略 赋能交通强国</w:t>
      </w:r>
    </w:p>
    <w:p w14:paraId="486040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560" w:firstLineChars="200"/>
        <w:jc w:val="left"/>
        <w:textAlignment w:val="auto"/>
        <w:rPr>
          <w:sz w:val="28"/>
          <w:szCs w:val="28"/>
        </w:rPr>
      </w:pPr>
      <w:r>
        <w:rPr>
          <w:rFonts w:ascii="Arial" w:hAnsi="Arial" w:eastAsia="等线" w:cs="Arial"/>
          <w:sz w:val="28"/>
          <w:szCs w:val="28"/>
        </w:rPr>
        <w:t>为省市交投公司提供全链条交能融合落地解决方案</w:t>
      </w:r>
    </w:p>
    <w:p w14:paraId="7A8124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560" w:firstLineChars="200"/>
        <w:jc w:val="left"/>
        <w:textAlignment w:val="auto"/>
        <w:rPr>
          <w:sz w:val="28"/>
          <w:szCs w:val="28"/>
        </w:rPr>
      </w:pPr>
      <w:r>
        <w:rPr>
          <w:rFonts w:ascii="Arial" w:hAnsi="Arial" w:eastAsia="等线" w:cs="Arial"/>
          <w:sz w:val="28"/>
          <w:szCs w:val="28"/>
        </w:rPr>
        <w:t>构筑绿色高速生态 引领高质量发展新格局</w:t>
      </w:r>
    </w:p>
    <w:p w14:paraId="5E1A1F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80" w:after="140" w:line="360" w:lineRule="auto"/>
        <w:jc w:val="left"/>
        <w:textAlignment w:val="auto"/>
        <w:outlineLvl w:val="0"/>
        <w:rPr>
          <w:sz w:val="28"/>
          <w:szCs w:val="28"/>
        </w:rPr>
      </w:pPr>
      <w:bookmarkStart w:id="1" w:name="heading_1"/>
      <w:r>
        <w:rPr>
          <w:rFonts w:ascii="Arial" w:hAnsi="Arial" w:eastAsia="等线" w:cs="Arial"/>
          <w:b/>
          <w:sz w:val="28"/>
          <w:szCs w:val="28"/>
        </w:rPr>
        <w:t>目录</w:t>
      </w:r>
      <w:bookmarkEnd w:id="1"/>
    </w:p>
    <w:p w14:paraId="6C018F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560" w:firstLineChars="200"/>
        <w:jc w:val="left"/>
        <w:textAlignment w:val="auto"/>
        <w:rPr>
          <w:sz w:val="28"/>
          <w:szCs w:val="28"/>
        </w:rPr>
      </w:pPr>
      <w:r>
        <w:rPr>
          <w:rFonts w:ascii="Arial" w:hAnsi="Arial" w:eastAsia="等线" w:cs="Arial"/>
          <w:sz w:val="28"/>
          <w:szCs w:val="28"/>
        </w:rPr>
        <w:t>1. 企业定位——锚定国家战略，铸就交能融合标杆</w:t>
      </w:r>
    </w:p>
    <w:p w14:paraId="2D0DDE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560" w:firstLineChars="200"/>
        <w:jc w:val="left"/>
        <w:textAlignment w:val="auto"/>
        <w:rPr>
          <w:sz w:val="28"/>
          <w:szCs w:val="28"/>
        </w:rPr>
      </w:pPr>
      <w:r>
        <w:rPr>
          <w:rFonts w:ascii="Arial" w:hAnsi="Arial" w:eastAsia="等线" w:cs="Arial"/>
          <w:sz w:val="28"/>
          <w:szCs w:val="28"/>
        </w:rPr>
        <w:t>2. 核心业务体系——多维协同，构建全场景综合服务生态</w:t>
      </w:r>
    </w:p>
    <w:p w14:paraId="544BE1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560" w:firstLineChars="200"/>
        <w:jc w:val="left"/>
        <w:textAlignment w:val="auto"/>
        <w:rPr>
          <w:sz w:val="28"/>
          <w:szCs w:val="28"/>
        </w:rPr>
      </w:pPr>
      <w:r>
        <w:rPr>
          <w:rFonts w:ascii="Arial" w:hAnsi="Arial" w:eastAsia="等线" w:cs="Arial"/>
          <w:sz w:val="28"/>
          <w:szCs w:val="28"/>
        </w:rPr>
        <w:t>3. 核心技术优势——科技筑基，赋能项目高效落地</w:t>
      </w:r>
    </w:p>
    <w:p w14:paraId="62484E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560" w:firstLineChars="200"/>
        <w:jc w:val="left"/>
        <w:textAlignment w:val="auto"/>
        <w:rPr>
          <w:sz w:val="28"/>
          <w:szCs w:val="28"/>
        </w:rPr>
      </w:pPr>
      <w:r>
        <w:rPr>
          <w:rFonts w:ascii="Arial" w:hAnsi="Arial" w:eastAsia="等线" w:cs="Arial"/>
          <w:sz w:val="28"/>
          <w:szCs w:val="28"/>
        </w:rPr>
        <w:t>4. 标杆项目实践——实力印证，与交投公司共筑精品工程</w:t>
      </w:r>
    </w:p>
    <w:p w14:paraId="66D9CD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560" w:firstLineChars="200"/>
        <w:jc w:val="left"/>
        <w:textAlignment w:val="auto"/>
        <w:rPr>
          <w:sz w:val="28"/>
          <w:szCs w:val="28"/>
        </w:rPr>
      </w:pPr>
      <w:r>
        <w:rPr>
          <w:rFonts w:ascii="Arial" w:hAnsi="Arial" w:eastAsia="等线" w:cs="Arial"/>
          <w:sz w:val="28"/>
          <w:szCs w:val="28"/>
        </w:rPr>
        <w:t>5. 战略合作模式——共赢发展，赋能交投资产增值</w:t>
      </w:r>
    </w:p>
    <w:p w14:paraId="5446C1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560" w:firstLineChars="200"/>
        <w:jc w:val="left"/>
        <w:textAlignment w:val="auto"/>
        <w:rPr>
          <w:sz w:val="28"/>
          <w:szCs w:val="28"/>
        </w:rPr>
      </w:pPr>
      <w:r>
        <w:rPr>
          <w:rFonts w:ascii="Arial" w:hAnsi="Arial" w:eastAsia="等线" w:cs="Arial"/>
          <w:sz w:val="28"/>
          <w:szCs w:val="28"/>
        </w:rPr>
        <w:t>6. 企业愿景——领航行业发展，助力交通绿色转型</w:t>
      </w:r>
    </w:p>
    <w:p w14:paraId="054864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560" w:firstLineChars="200"/>
        <w:jc w:val="left"/>
        <w:textAlignment w:val="auto"/>
        <w:rPr>
          <w:sz w:val="28"/>
          <w:szCs w:val="28"/>
        </w:rPr>
      </w:pPr>
      <w:r>
        <w:rPr>
          <w:rFonts w:ascii="Arial" w:hAnsi="Arial" w:eastAsia="等线" w:cs="Arial"/>
          <w:sz w:val="28"/>
          <w:szCs w:val="28"/>
        </w:rPr>
        <w:t>7. 联系我们——携手交投，共绘发展蓝图</w:t>
      </w:r>
    </w:p>
    <w:p w14:paraId="22E0D9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80" w:after="140" w:line="360" w:lineRule="auto"/>
        <w:jc w:val="left"/>
        <w:textAlignment w:val="auto"/>
        <w:outlineLvl w:val="0"/>
        <w:rPr>
          <w:sz w:val="28"/>
          <w:szCs w:val="28"/>
        </w:rPr>
      </w:pPr>
      <w:bookmarkStart w:id="2" w:name="heading_2"/>
      <w:r>
        <w:rPr>
          <w:rFonts w:ascii="Arial" w:hAnsi="Arial" w:eastAsia="等线" w:cs="Arial"/>
          <w:b/>
          <w:sz w:val="28"/>
          <w:szCs w:val="28"/>
        </w:rPr>
        <w:t>一、企业定位——锚定国家战略，铸就交能融合标杆</w:t>
      </w:r>
      <w:bookmarkEnd w:id="2"/>
    </w:p>
    <w:p w14:paraId="58A4C1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560" w:firstLineChars="200"/>
        <w:jc w:val="left"/>
        <w:textAlignment w:val="auto"/>
        <w:rPr>
          <w:sz w:val="28"/>
          <w:szCs w:val="28"/>
        </w:rPr>
      </w:pPr>
      <w:r>
        <w:rPr>
          <w:rFonts w:ascii="Arial" w:hAnsi="Arial" w:eastAsia="等线" w:cs="Arial"/>
          <w:sz w:val="28"/>
          <w:szCs w:val="28"/>
        </w:rPr>
        <w:t>深圳光谧交能科技有限公司，作为专注于高速公路交能融合领域的战略级服务商，深度响应国家“双碳”战略与交通强国建设号召，聚焦高速公路交能融合项目全周期落地，为各省市交投公司提供清洁能源供给与消纳设施一体化解决方案。</w:t>
      </w:r>
    </w:p>
    <w:p w14:paraId="7B4483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560" w:firstLineChars="200"/>
        <w:jc w:val="left"/>
        <w:textAlignment w:val="auto"/>
        <w:rPr>
          <w:sz w:val="28"/>
          <w:szCs w:val="28"/>
        </w:rPr>
      </w:pPr>
      <w:r>
        <w:rPr>
          <w:rFonts w:ascii="Arial" w:hAnsi="Arial" w:eastAsia="等线" w:cs="Arial"/>
          <w:sz w:val="28"/>
          <w:szCs w:val="28"/>
        </w:rPr>
        <w:t>公司立足高起点规划、高标准建设、高水平运营，以“赋能地方交通路网绿色、低碳、高质量发展”为核心使命，整合能源工程、智能控制、交通规划等多领域顶尖人才与技术资源，构建起从顶层设计、技术研发、工程实施到运营管理的全链条服务能力。我们深耕行业核心需求，精准匹配交投公司资产增值与绿色转型目标，打造兼具生态效益、社会效益与经济效益的交能融合示范项目，成为各省市交投公司推进交通能源融合发展的核心战略伙伴。</w:t>
      </w:r>
    </w:p>
    <w:p w14:paraId="36C0C2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80" w:after="140" w:line="360" w:lineRule="auto"/>
        <w:jc w:val="left"/>
        <w:textAlignment w:val="auto"/>
        <w:outlineLvl w:val="0"/>
        <w:rPr>
          <w:sz w:val="28"/>
          <w:szCs w:val="28"/>
        </w:rPr>
      </w:pPr>
      <w:bookmarkStart w:id="3" w:name="heading_3"/>
      <w:r>
        <w:rPr>
          <w:rFonts w:ascii="Arial" w:hAnsi="Arial" w:eastAsia="等线" w:cs="Arial"/>
          <w:b/>
          <w:sz w:val="28"/>
          <w:szCs w:val="28"/>
        </w:rPr>
        <w:t>二、核心业务体系——多维协同，构建全场景综合服务生态</w:t>
      </w:r>
      <w:bookmarkEnd w:id="3"/>
    </w:p>
    <w:p w14:paraId="16A5FC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560" w:firstLineChars="200"/>
        <w:jc w:val="left"/>
        <w:textAlignment w:val="auto"/>
        <w:rPr>
          <w:sz w:val="28"/>
          <w:szCs w:val="28"/>
        </w:rPr>
      </w:pPr>
      <w:r>
        <w:rPr>
          <w:rFonts w:ascii="Arial" w:hAnsi="Arial" w:eastAsia="等线" w:cs="Arial"/>
          <w:sz w:val="28"/>
          <w:szCs w:val="28"/>
        </w:rPr>
        <w:t>依托对交投行业需求的深刻洞察，公司构建以综合能源站为核心，覆盖清洁能源供给、绿色运输支撑、多元业态融合的全场景业务体系，全方位满足交投公司路网升级与产业延伸需求。</w:t>
      </w:r>
    </w:p>
    <w:p w14:paraId="7EB6E9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360" w:lineRule="auto"/>
        <w:ind w:left="0" w:firstLine="560" w:firstLineChars="200"/>
        <w:jc w:val="left"/>
        <w:textAlignment w:val="auto"/>
        <w:outlineLvl w:val="1"/>
        <w:rPr>
          <w:sz w:val="28"/>
          <w:szCs w:val="28"/>
        </w:rPr>
      </w:pPr>
      <w:bookmarkStart w:id="4" w:name="heading_4"/>
      <w:r>
        <w:rPr>
          <w:rFonts w:ascii="Arial" w:hAnsi="Arial" w:eastAsia="等线" w:cs="Arial"/>
          <w:b/>
          <w:sz w:val="28"/>
          <w:szCs w:val="28"/>
        </w:rPr>
        <w:t>（一）综合能源站一体化建设运营</w:t>
      </w:r>
      <w:bookmarkEnd w:id="4"/>
    </w:p>
    <w:p w14:paraId="0C180E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560" w:firstLineChars="200"/>
        <w:jc w:val="left"/>
        <w:textAlignment w:val="auto"/>
        <w:rPr>
          <w:sz w:val="28"/>
          <w:szCs w:val="28"/>
        </w:rPr>
      </w:pPr>
      <w:r>
        <w:rPr>
          <w:rFonts w:ascii="Arial" w:hAnsi="Arial" w:eastAsia="等线" w:cs="Arial"/>
          <w:sz w:val="28"/>
          <w:szCs w:val="28"/>
        </w:rPr>
        <w:t>作为业务核心载体，综合能源站融合多元能源供给与高效消纳设施，打造“一站式”能源补给枢纽，适配不同区域路网的能源需求。</w:t>
      </w:r>
    </w:p>
    <w:p w14:paraId="6C60B74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560" w:firstLineChars="200"/>
        <w:jc w:val="left"/>
        <w:textAlignment w:val="auto"/>
        <w:rPr>
          <w:sz w:val="28"/>
          <w:szCs w:val="28"/>
        </w:rPr>
      </w:pPr>
      <w:r>
        <w:rPr>
          <w:rFonts w:ascii="Arial" w:hAnsi="Arial" w:eastAsia="等线" w:cs="Arial"/>
          <w:sz w:val="28"/>
          <w:szCs w:val="28"/>
        </w:rPr>
        <w:t>多元能源补给配置：一体化布局加氢站、换电站、快充站，配套常规油气补给设施，实现“氢、电、油、气”全品类能源覆盖；针对重卡等重载车辆，专属打造重卡电车搭电通道与快充专区，解决重载货运车辆补能痛点，支撑货运绿色运输走廊建设 。</w:t>
      </w:r>
    </w:p>
    <w:p w14:paraId="77AA5544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560" w:firstLineChars="200"/>
        <w:jc w:val="left"/>
        <w:textAlignment w:val="auto"/>
        <w:rPr>
          <w:sz w:val="28"/>
          <w:szCs w:val="28"/>
        </w:rPr>
      </w:pPr>
      <w:r>
        <w:rPr>
          <w:rFonts w:ascii="Arial" w:hAnsi="Arial" w:eastAsia="等线" w:cs="Arial"/>
          <w:sz w:val="28"/>
          <w:szCs w:val="28"/>
        </w:rPr>
        <w:t>清洁能源高效开发：整合声屏障光伏、服务区屋顶光伏、边坡光伏等多元光伏应用场景，搭配微风发电系统，充分挖掘路网闲置空间资源；通过低压经济技术优化能源传输效率，降低能耗损失，构建“自发自用、余电上网”的分布式能源体系 。</w:t>
      </w:r>
    </w:p>
    <w:p w14:paraId="51A9D5F3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560" w:firstLineChars="200"/>
        <w:jc w:val="left"/>
        <w:textAlignment w:val="auto"/>
        <w:rPr>
          <w:sz w:val="28"/>
          <w:szCs w:val="28"/>
        </w:rPr>
      </w:pPr>
      <w:r>
        <w:rPr>
          <w:rFonts w:ascii="Arial" w:hAnsi="Arial" w:eastAsia="等线" w:cs="Arial"/>
          <w:sz w:val="28"/>
          <w:szCs w:val="28"/>
        </w:rPr>
        <w:t>智能消纳体系搭建：配套大容量储能系统与智慧微电网，实现“源网荷储”协同调控；依托自主研发的能源管理平台，精准匹配能源生产与消耗节奏，提升清洁能源消纳率，保障电网安全稳定运行，为交投公司降低用能成本 。</w:t>
      </w:r>
    </w:p>
    <w:p w14:paraId="164332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360" w:lineRule="auto"/>
        <w:ind w:left="0" w:firstLine="560" w:firstLineChars="200"/>
        <w:jc w:val="left"/>
        <w:textAlignment w:val="auto"/>
        <w:outlineLvl w:val="1"/>
        <w:rPr>
          <w:sz w:val="28"/>
          <w:szCs w:val="28"/>
        </w:rPr>
      </w:pPr>
      <w:bookmarkStart w:id="5" w:name="heading_5"/>
      <w:r>
        <w:rPr>
          <w:rFonts w:ascii="Arial" w:hAnsi="Arial" w:eastAsia="等线" w:cs="Arial"/>
          <w:b/>
          <w:sz w:val="28"/>
          <w:szCs w:val="28"/>
        </w:rPr>
        <w:t>（二）绿色运输生态全链条赋能</w:t>
      </w:r>
      <w:bookmarkEnd w:id="5"/>
    </w:p>
    <w:p w14:paraId="05E14F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560" w:firstLineChars="200"/>
        <w:jc w:val="left"/>
        <w:textAlignment w:val="auto"/>
        <w:rPr>
          <w:sz w:val="28"/>
          <w:szCs w:val="28"/>
        </w:rPr>
      </w:pPr>
      <w:r>
        <w:rPr>
          <w:rFonts w:ascii="Arial" w:hAnsi="Arial" w:eastAsia="等线" w:cs="Arial"/>
          <w:sz w:val="28"/>
          <w:szCs w:val="28"/>
        </w:rPr>
        <w:t>聚焦货运与冷链运输痛点，构建全链条绿色运输支撑体系，助力交投公司打造绿色高效路网。</w:t>
      </w:r>
    </w:p>
    <w:p w14:paraId="644D7859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560" w:firstLineChars="200"/>
        <w:jc w:val="left"/>
        <w:textAlignment w:val="auto"/>
        <w:rPr>
          <w:sz w:val="28"/>
          <w:szCs w:val="28"/>
        </w:rPr>
      </w:pPr>
      <w:r>
        <w:rPr>
          <w:rFonts w:ascii="Arial" w:hAnsi="Arial" w:eastAsia="等线" w:cs="Arial"/>
          <w:sz w:val="28"/>
          <w:szCs w:val="28"/>
        </w:rPr>
        <w:t>货运绿色运输走廊打造：以综合能源站为节点，串联形成覆盖全域的货运绿色运输走廊，为货运车辆提供“沿途补能、全程绿色”的运输保障；通过重卡电车搭电通道、换电站等设施布局，大幅降低重载货运车辆碳排放，提升运输效率 。</w:t>
      </w:r>
    </w:p>
    <w:p w14:paraId="1845C4A2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560" w:firstLineChars="200"/>
        <w:jc w:val="left"/>
        <w:textAlignment w:val="auto"/>
        <w:rPr>
          <w:sz w:val="28"/>
          <w:szCs w:val="28"/>
        </w:rPr>
      </w:pPr>
      <w:r>
        <w:rPr>
          <w:rFonts w:ascii="Arial" w:hAnsi="Arial" w:eastAsia="等线" w:cs="Arial"/>
          <w:sz w:val="28"/>
          <w:szCs w:val="28"/>
        </w:rPr>
        <w:t>冷链绿色运输通道建设：在核心服务区综合能源站内配套建设标准化冷链仓储与中转设施，构建“高速路网+冷链物流”协同通道；依托清洁能源供给保障冷链设备稳定运行，降低冷链运输能耗与成本，打通生鲜农产品跨区域运输的“绿色通道” 。</w:t>
      </w:r>
    </w:p>
    <w:p w14:paraId="479A21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360" w:lineRule="auto"/>
        <w:ind w:left="0" w:firstLine="560" w:firstLineChars="200"/>
        <w:jc w:val="left"/>
        <w:textAlignment w:val="auto"/>
        <w:outlineLvl w:val="1"/>
        <w:rPr>
          <w:sz w:val="28"/>
          <w:szCs w:val="28"/>
        </w:rPr>
      </w:pPr>
      <w:bookmarkStart w:id="6" w:name="heading_6"/>
      <w:r>
        <w:rPr>
          <w:rFonts w:ascii="Arial" w:hAnsi="Arial" w:eastAsia="等线" w:cs="Arial"/>
          <w:b/>
          <w:sz w:val="28"/>
          <w:szCs w:val="28"/>
        </w:rPr>
        <w:t>（三）多元业态融合价值升级</w:t>
      </w:r>
      <w:bookmarkEnd w:id="6"/>
    </w:p>
    <w:p w14:paraId="39C77A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560" w:firstLineChars="200"/>
        <w:jc w:val="left"/>
        <w:textAlignment w:val="auto"/>
        <w:rPr>
          <w:sz w:val="28"/>
          <w:szCs w:val="28"/>
        </w:rPr>
      </w:pPr>
      <w:r>
        <w:rPr>
          <w:rFonts w:ascii="Arial" w:hAnsi="Arial" w:eastAsia="等线" w:cs="Arial"/>
          <w:sz w:val="28"/>
          <w:szCs w:val="28"/>
        </w:rPr>
        <w:t>以服务区为载体，延伸产业服务链条，实现“交通+”业态融合，助力交投公司提升资产附加值。</w:t>
      </w:r>
    </w:p>
    <w:p w14:paraId="4C5B8526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560" w:firstLineChars="200"/>
        <w:jc w:val="left"/>
        <w:textAlignment w:val="auto"/>
        <w:rPr>
          <w:sz w:val="28"/>
          <w:szCs w:val="28"/>
        </w:rPr>
      </w:pPr>
      <w:r>
        <w:rPr>
          <w:rFonts w:ascii="Arial" w:hAnsi="Arial" w:eastAsia="等线" w:cs="Arial"/>
          <w:sz w:val="28"/>
          <w:szCs w:val="28"/>
        </w:rPr>
        <w:t>振兴乡村赋能行动：在服务区设立乡村振兴特色农产品展销中心，搭建“农户+服务区+司乘”的直连销售渠道；通过统一品牌包装、标准化品控与线上线下联动销售，带动沿线农户增收，助力地方乡村振兴，同时丰富服务区业态，提升司乘体验 。</w:t>
      </w:r>
    </w:p>
    <w:p w14:paraId="3833558B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560" w:firstLineChars="200"/>
        <w:jc w:val="left"/>
        <w:textAlignment w:val="auto"/>
        <w:rPr>
          <w:sz w:val="28"/>
          <w:szCs w:val="28"/>
        </w:rPr>
      </w:pPr>
      <w:r>
        <w:rPr>
          <w:rFonts w:ascii="Arial" w:hAnsi="Arial" w:eastAsia="等线" w:cs="Arial"/>
          <w:sz w:val="28"/>
          <w:szCs w:val="28"/>
        </w:rPr>
        <w:t>低压经济场景落地：依托低压供电技术优化服务区能源供给结构，为服务区内商业配套、办公设施等提供低成本、高效能的电力支持；结合光伏声屏障、微风发电等清洁能源收益，构建“能源自给+业态增收”的低压经济发展模式，提升服务区综合效益 。</w:t>
      </w:r>
    </w:p>
    <w:p w14:paraId="67EF7D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80" w:after="140" w:line="360" w:lineRule="auto"/>
        <w:jc w:val="left"/>
        <w:textAlignment w:val="auto"/>
        <w:outlineLvl w:val="0"/>
        <w:rPr>
          <w:sz w:val="28"/>
          <w:szCs w:val="28"/>
        </w:rPr>
      </w:pPr>
      <w:bookmarkStart w:id="7" w:name="heading_7"/>
      <w:r>
        <w:rPr>
          <w:rFonts w:ascii="Arial" w:hAnsi="Arial" w:eastAsia="等线" w:cs="Arial"/>
          <w:b/>
          <w:sz w:val="28"/>
          <w:szCs w:val="28"/>
        </w:rPr>
        <w:t>三、核心技术优势——科技筑基，赋能项目高效落地</w:t>
      </w:r>
      <w:bookmarkEnd w:id="7"/>
    </w:p>
    <w:p w14:paraId="5BEC84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560" w:firstLineChars="200"/>
        <w:jc w:val="left"/>
        <w:textAlignment w:val="auto"/>
        <w:rPr>
          <w:sz w:val="28"/>
          <w:szCs w:val="28"/>
        </w:rPr>
      </w:pPr>
      <w:r>
        <w:rPr>
          <w:rFonts w:ascii="Arial" w:hAnsi="Arial" w:eastAsia="等线" w:cs="Arial"/>
          <w:sz w:val="28"/>
          <w:szCs w:val="28"/>
        </w:rPr>
        <w:t>公司以技术创新为核心竞争力，构建起覆盖全业务链条的技术体系，为交投公司提供稳定、高效、可落地的交能融合解决方案。</w:t>
      </w:r>
    </w:p>
    <w:p w14:paraId="405E68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360" w:lineRule="auto"/>
        <w:ind w:left="0" w:firstLine="560" w:firstLineChars="200"/>
        <w:jc w:val="left"/>
        <w:textAlignment w:val="auto"/>
        <w:outlineLvl w:val="1"/>
        <w:rPr>
          <w:sz w:val="28"/>
          <w:szCs w:val="28"/>
        </w:rPr>
      </w:pPr>
      <w:bookmarkStart w:id="8" w:name="heading_8"/>
      <w:r>
        <w:rPr>
          <w:rFonts w:ascii="Arial" w:hAnsi="Arial" w:eastAsia="等线" w:cs="Arial"/>
          <w:b/>
          <w:sz w:val="28"/>
          <w:szCs w:val="28"/>
        </w:rPr>
        <w:t>（一）顶层设计与集成创新能力</w:t>
      </w:r>
      <w:bookmarkEnd w:id="8"/>
    </w:p>
    <w:p w14:paraId="161FF4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560" w:firstLineChars="200"/>
        <w:jc w:val="left"/>
        <w:textAlignment w:val="auto"/>
        <w:rPr>
          <w:sz w:val="28"/>
          <w:szCs w:val="28"/>
        </w:rPr>
      </w:pPr>
      <w:r>
        <w:rPr>
          <w:rFonts w:ascii="Arial" w:hAnsi="Arial" w:eastAsia="等线" w:cs="Arial"/>
          <w:sz w:val="28"/>
          <w:szCs w:val="28"/>
        </w:rPr>
        <w:t>依托对国家政策与行业趋势的精准研判，为交投公司提供从项目规划、可行性研究到方案设计的全流程顶层设计服务；结合不同区域路网特点与交投公司发展需求，定制差异化的“综合能源站+多元业态”集成方案，确保项目兼具前瞻性与落地性 。</w:t>
      </w:r>
    </w:p>
    <w:p w14:paraId="6250D6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360" w:lineRule="auto"/>
        <w:ind w:left="0" w:firstLine="560" w:firstLineChars="200"/>
        <w:jc w:val="left"/>
        <w:textAlignment w:val="auto"/>
        <w:outlineLvl w:val="1"/>
        <w:rPr>
          <w:sz w:val="28"/>
          <w:szCs w:val="28"/>
        </w:rPr>
      </w:pPr>
      <w:bookmarkStart w:id="9" w:name="heading_9"/>
      <w:r>
        <w:rPr>
          <w:rFonts w:ascii="Arial" w:hAnsi="Arial" w:eastAsia="等线" w:cs="Arial"/>
          <w:b/>
          <w:sz w:val="28"/>
          <w:szCs w:val="28"/>
        </w:rPr>
        <w:t>（二）核心技术研发与应用</w:t>
      </w:r>
      <w:bookmarkEnd w:id="9"/>
    </w:p>
    <w:p w14:paraId="189926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560" w:firstLineChars="200"/>
        <w:jc w:val="left"/>
        <w:textAlignment w:val="auto"/>
        <w:rPr>
          <w:sz w:val="28"/>
          <w:szCs w:val="28"/>
        </w:rPr>
      </w:pPr>
      <w:r>
        <w:rPr>
          <w:rFonts w:ascii="Arial" w:hAnsi="Arial" w:eastAsia="等线" w:cs="Arial"/>
          <w:sz w:val="28"/>
          <w:szCs w:val="28"/>
        </w:rPr>
        <w:t>聚焦声屏障光伏、微风发电、低压经济等关键技术领域，联合高校与科研院所建立产学研合作平台，突破多项技术瓶颈；自主研发的智慧能源管理平台，具备能源监测、智能调度、故障预警等全功能，可实现多站点远程可视化管理，为交投公司提供精准的能源管理决策支持 。</w:t>
      </w:r>
    </w:p>
    <w:p w14:paraId="4BC9D7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360" w:lineRule="auto"/>
        <w:ind w:left="0" w:firstLine="560" w:firstLineChars="200"/>
        <w:jc w:val="left"/>
        <w:textAlignment w:val="auto"/>
        <w:outlineLvl w:val="1"/>
        <w:rPr>
          <w:sz w:val="28"/>
          <w:szCs w:val="28"/>
        </w:rPr>
      </w:pPr>
      <w:bookmarkStart w:id="10" w:name="heading_10"/>
      <w:r>
        <w:rPr>
          <w:rFonts w:ascii="Arial" w:hAnsi="Arial" w:eastAsia="等线" w:cs="Arial"/>
          <w:b/>
          <w:sz w:val="28"/>
          <w:szCs w:val="28"/>
        </w:rPr>
        <w:t>（三）标准化工程与运维体系</w:t>
      </w:r>
      <w:bookmarkEnd w:id="10"/>
    </w:p>
    <w:p w14:paraId="6BEC4B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560" w:firstLineChars="200"/>
        <w:jc w:val="left"/>
        <w:textAlignment w:val="auto"/>
        <w:rPr>
          <w:sz w:val="28"/>
          <w:szCs w:val="28"/>
        </w:rPr>
      </w:pPr>
      <w:r>
        <w:rPr>
          <w:rFonts w:ascii="Arial" w:hAnsi="Arial" w:eastAsia="等线" w:cs="Arial"/>
          <w:sz w:val="28"/>
          <w:szCs w:val="28"/>
        </w:rPr>
        <w:t>建立符合交投行业规范的标准化工程建设体系，采用模块化、装配式施工技术，最大限度降低对服务区正常运营的影响，确保项目高质量、高效率交付；组建专业运维团队，配备智能巡检设备与应急响应机制，提供7×24小时全周期运维服务，保障设施长期稳定运行，降低交投公司运维压力 。</w:t>
      </w:r>
    </w:p>
    <w:p w14:paraId="4B4311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80" w:after="140" w:line="360" w:lineRule="auto"/>
        <w:jc w:val="left"/>
        <w:textAlignment w:val="auto"/>
        <w:outlineLvl w:val="0"/>
        <w:rPr>
          <w:sz w:val="28"/>
          <w:szCs w:val="28"/>
        </w:rPr>
      </w:pPr>
      <w:bookmarkStart w:id="11" w:name="heading_11"/>
      <w:r>
        <w:rPr>
          <w:rFonts w:ascii="Arial" w:hAnsi="Arial" w:eastAsia="等线" w:cs="Arial"/>
          <w:b/>
          <w:sz w:val="28"/>
          <w:szCs w:val="28"/>
        </w:rPr>
        <w:t>四、标杆项目实践——实力印证，与交投公司共筑精品工程</w:t>
      </w:r>
      <w:bookmarkEnd w:id="11"/>
    </w:p>
    <w:p w14:paraId="50E13E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360" w:lineRule="auto"/>
        <w:ind w:left="0" w:firstLine="560" w:firstLineChars="200"/>
        <w:jc w:val="left"/>
        <w:textAlignment w:val="auto"/>
        <w:outlineLvl w:val="1"/>
        <w:rPr>
          <w:sz w:val="28"/>
          <w:szCs w:val="28"/>
        </w:rPr>
      </w:pPr>
      <w:bookmarkStart w:id="12" w:name="heading_12"/>
      <w:r>
        <w:rPr>
          <w:rFonts w:ascii="Arial" w:hAnsi="Arial" w:eastAsia="等线" w:cs="Arial"/>
          <w:b/>
          <w:sz w:val="28"/>
          <w:szCs w:val="28"/>
        </w:rPr>
        <w:t>案例一：某省高速全域交能融合示范项目</w:t>
      </w:r>
      <w:bookmarkEnd w:id="12"/>
    </w:p>
    <w:p w14:paraId="300EAE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560" w:firstLineChars="200"/>
        <w:jc w:val="left"/>
        <w:textAlignment w:val="auto"/>
        <w:rPr>
          <w:sz w:val="28"/>
          <w:szCs w:val="28"/>
        </w:rPr>
      </w:pPr>
      <w:r>
        <w:rPr>
          <w:rFonts w:ascii="Arial" w:hAnsi="Arial" w:eastAsia="等线" w:cs="Arial"/>
          <w:sz w:val="28"/>
          <w:szCs w:val="28"/>
        </w:rPr>
        <w:t>合作单位：某省级交通投资集团</w:t>
      </w:r>
    </w:p>
    <w:p w14:paraId="7B574A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560" w:firstLineChars="200"/>
        <w:jc w:val="left"/>
        <w:textAlignment w:val="auto"/>
        <w:rPr>
          <w:sz w:val="28"/>
          <w:szCs w:val="28"/>
        </w:rPr>
      </w:pPr>
      <w:r>
        <w:rPr>
          <w:rFonts w:ascii="Arial" w:hAnsi="Arial" w:eastAsia="等线" w:cs="Arial"/>
          <w:sz w:val="28"/>
          <w:szCs w:val="28"/>
        </w:rPr>
        <w:t>项目概况：为响应全省绿色交通发展规划，公司为其打造全域高速公路交能融合解决方案，覆盖12对核心服务区，建设综合能源站15座，配套声屏障光伏18公里、微风发电系统30套，构建货运绿色运输走廊2条、冷链绿色运输通道1条，并在8对服务区设立乡村振兴农产品展销中心 。</w:t>
      </w:r>
    </w:p>
    <w:p w14:paraId="61E45E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560" w:firstLineChars="200"/>
        <w:jc w:val="left"/>
        <w:textAlignment w:val="auto"/>
        <w:rPr>
          <w:sz w:val="28"/>
          <w:szCs w:val="28"/>
        </w:rPr>
      </w:pPr>
      <w:r>
        <w:rPr>
          <w:rFonts w:ascii="Arial" w:hAnsi="Arial" w:eastAsia="等线" w:cs="Arial"/>
          <w:sz w:val="28"/>
          <w:szCs w:val="28"/>
        </w:rPr>
        <w:t>项目成效：项目投运后，年发电量超1.2亿千瓦时，满足服务区及周边设施60%以上用电需求，年减排二氧化碳超10万吨；货运车辆补能效率提升40%，冷链运输成本降低25%；乡村振兴展销中心年带动农户增收超500万元，实现了生态效益、社会效益与经济效益的三重提升，成为省级交能融合示范标杆 。</w:t>
      </w:r>
    </w:p>
    <w:p w14:paraId="2301DC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360" w:lineRule="auto"/>
        <w:ind w:left="0" w:firstLine="560" w:firstLineChars="200"/>
        <w:jc w:val="left"/>
        <w:textAlignment w:val="auto"/>
        <w:outlineLvl w:val="1"/>
        <w:rPr>
          <w:sz w:val="28"/>
          <w:szCs w:val="28"/>
        </w:rPr>
      </w:pPr>
      <w:bookmarkStart w:id="13" w:name="heading_13"/>
      <w:r>
        <w:rPr>
          <w:rFonts w:ascii="Arial" w:hAnsi="Arial" w:eastAsia="等线" w:cs="Arial"/>
          <w:b/>
          <w:sz w:val="28"/>
          <w:szCs w:val="28"/>
        </w:rPr>
        <w:t>案例二：重载高速综合能源站标杆项目</w:t>
      </w:r>
      <w:bookmarkEnd w:id="13"/>
    </w:p>
    <w:p w14:paraId="13ECE8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560" w:firstLineChars="200"/>
        <w:jc w:val="left"/>
        <w:textAlignment w:val="auto"/>
        <w:rPr>
          <w:sz w:val="28"/>
          <w:szCs w:val="28"/>
        </w:rPr>
      </w:pPr>
      <w:r>
        <w:rPr>
          <w:rFonts w:ascii="Arial" w:hAnsi="Arial" w:eastAsia="等线" w:cs="Arial"/>
          <w:sz w:val="28"/>
          <w:szCs w:val="28"/>
        </w:rPr>
        <w:t>合作单位：某区域交投集团</w:t>
      </w:r>
    </w:p>
    <w:p w14:paraId="18B4AE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560" w:firstLineChars="200"/>
        <w:jc w:val="left"/>
        <w:textAlignment w:val="auto"/>
        <w:rPr>
          <w:sz w:val="28"/>
          <w:szCs w:val="28"/>
        </w:rPr>
      </w:pPr>
      <w:r>
        <w:rPr>
          <w:rFonts w:ascii="Arial" w:hAnsi="Arial" w:eastAsia="等线" w:cs="Arial"/>
          <w:sz w:val="28"/>
          <w:szCs w:val="28"/>
        </w:rPr>
        <w:t>项目概况：针对重载货运车辆集中的高速路段，定制建设“加氢+换电+重卡搭电+光伏”一体化综合能源站，配套建设智能储能系统与低压经济配套设施，重点支撑货运绿色运输走廊建设 。</w:t>
      </w:r>
    </w:p>
    <w:p w14:paraId="0220CE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560" w:firstLineChars="200"/>
        <w:jc w:val="left"/>
        <w:textAlignment w:val="auto"/>
        <w:rPr>
          <w:sz w:val="28"/>
          <w:szCs w:val="28"/>
        </w:rPr>
      </w:pPr>
      <w:r>
        <w:rPr>
          <w:rFonts w:ascii="Arial" w:hAnsi="Arial" w:eastAsia="等线" w:cs="Arial"/>
          <w:sz w:val="28"/>
          <w:szCs w:val="28"/>
        </w:rPr>
        <w:t>项目成效：站点日均服务重载车辆超800辆次，加氢、换电全程耗时均不超过10分钟；通过光伏与微风发电自给自足，站点能源自给率达85%；低压经济模式使站点运营成本降低30%，为交投公司实现资产增值与绿色转型提供了有力支撑 。</w:t>
      </w:r>
    </w:p>
    <w:p w14:paraId="31AD2A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80" w:after="140" w:line="360" w:lineRule="auto"/>
        <w:jc w:val="left"/>
        <w:textAlignment w:val="auto"/>
        <w:outlineLvl w:val="0"/>
        <w:rPr>
          <w:sz w:val="28"/>
          <w:szCs w:val="28"/>
        </w:rPr>
      </w:pPr>
      <w:bookmarkStart w:id="14" w:name="heading_14"/>
      <w:r>
        <w:rPr>
          <w:rFonts w:ascii="Arial" w:hAnsi="Arial" w:eastAsia="等线" w:cs="Arial"/>
          <w:b/>
          <w:sz w:val="28"/>
          <w:szCs w:val="28"/>
        </w:rPr>
        <w:t>五、战略合作模式——共赢发展，赋能交投资产增值</w:t>
      </w:r>
      <w:bookmarkEnd w:id="14"/>
    </w:p>
    <w:p w14:paraId="2C9DB2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560" w:firstLineChars="200"/>
        <w:jc w:val="left"/>
        <w:textAlignment w:val="auto"/>
        <w:rPr>
          <w:sz w:val="28"/>
          <w:szCs w:val="28"/>
        </w:rPr>
      </w:pPr>
      <w:r>
        <w:rPr>
          <w:rFonts w:ascii="Arial" w:hAnsi="Arial" w:eastAsia="等线" w:cs="Arial"/>
          <w:sz w:val="28"/>
          <w:szCs w:val="28"/>
        </w:rPr>
        <w:t>立足交投公司核心需求，构建灵活多元、风险共担、收益共享的战略合作体系，精准匹配不同交投公司的资金状况、资产规划与发展目标，助力交投公司实现资产保值增值与绿色转型双重突破。</w:t>
      </w:r>
    </w:p>
    <w:p w14:paraId="7D2B8385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560" w:firstLineChars="200"/>
        <w:jc w:val="left"/>
        <w:textAlignment w:val="auto"/>
        <w:rPr>
          <w:sz w:val="28"/>
          <w:szCs w:val="28"/>
        </w:rPr>
      </w:pPr>
      <w:r>
        <w:rPr>
          <w:rFonts w:ascii="Arial" w:hAnsi="Arial" w:eastAsia="等线" w:cs="Arial"/>
          <w:sz w:val="28"/>
          <w:szCs w:val="28"/>
        </w:rPr>
        <w:t>EPC总承包模式：提供从项目顶层设计、技术方案优化、设备采购集成到工程施工验收的全流程总承包服务。依托标准化施工体系与丰富项目经验，严控工期与成本，确保项目高质量落地，大幅降低交投公司项目管理精力。</w:t>
      </w:r>
    </w:p>
    <w:p w14:paraId="51E62E68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560" w:firstLineChars="200"/>
        <w:jc w:val="left"/>
        <w:textAlignment w:val="auto"/>
        <w:rPr>
          <w:sz w:val="28"/>
          <w:szCs w:val="28"/>
        </w:rPr>
      </w:pPr>
      <w:r>
        <w:rPr>
          <w:rFonts w:ascii="Arial" w:hAnsi="Arial" w:eastAsia="等线" w:cs="Arial"/>
          <w:sz w:val="28"/>
          <w:szCs w:val="28"/>
        </w:rPr>
        <w:t>合资共建模式：与交投公司共同出资成立项目公司，共享资源、共担风险、共享收益。公司输出技术、运营能力与行业资源，交投公司发挥路网资源与政策优势，联合打造标杆项目，实现双方优势互补、长期共赢。</w:t>
      </w:r>
    </w:p>
    <w:p w14:paraId="1DB1F19B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560" w:firstLineChars="200"/>
        <w:jc w:val="left"/>
        <w:textAlignment w:val="auto"/>
        <w:rPr>
          <w:sz w:val="28"/>
          <w:szCs w:val="28"/>
        </w:rPr>
      </w:pPr>
      <w:r>
        <w:rPr>
          <w:rFonts w:ascii="Arial" w:hAnsi="Arial" w:eastAsia="等线" w:cs="Arial"/>
          <w:sz w:val="28"/>
          <w:szCs w:val="28"/>
        </w:rPr>
        <w:t>委托运营模式：针对交投公司已建成的能源设施，提供专业化委托运营服务。通过智慧运维平台与专业运维团队，实现设施高效运营、能耗优化与收益提升，交投公司无需投入运维精力，即可稳定获取资产收益。</w:t>
      </w:r>
    </w:p>
    <w:p w14:paraId="0ED01A20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560" w:firstLineChars="200"/>
        <w:jc w:val="left"/>
        <w:textAlignment w:val="auto"/>
        <w:rPr>
          <w:sz w:val="28"/>
          <w:szCs w:val="28"/>
        </w:rPr>
      </w:pPr>
      <w:r>
        <w:rPr>
          <w:rFonts w:ascii="Arial" w:hAnsi="Arial" w:eastAsia="等线" w:cs="Arial"/>
          <w:sz w:val="28"/>
          <w:szCs w:val="28"/>
        </w:rPr>
        <w:t>合同能源管理（EMC）模式：由公司全额承担项目投资、建设与运维成本，根据双方约定分享节能收益或能源销售收益。交投公司零初始投资即可引入先进的交能融合解决方案，实现降本增效与绿色转型，收益稳定后可选择回购资产。</w:t>
      </w:r>
    </w:p>
    <w:p w14:paraId="6515F6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560" w:firstLineChars="200"/>
        <w:jc w:val="left"/>
        <w:textAlignment w:val="auto"/>
        <w:rPr>
          <w:sz w:val="28"/>
          <w:szCs w:val="28"/>
        </w:rPr>
      </w:pPr>
      <w:r>
        <w:rPr>
          <w:rFonts w:ascii="Arial" w:hAnsi="Arial" w:eastAsia="等线" w:cs="Arial"/>
          <w:sz w:val="28"/>
          <w:szCs w:val="28"/>
        </w:rPr>
        <w:t>此外，针对重大全域性交能融合项目，公司可提供“定制化打包服务”，整合多种合作模式，形成覆盖路网全生命周期的综合合作方案，全方位赋能交投资产价值提升。</w:t>
      </w:r>
    </w:p>
    <w:p w14:paraId="416BF1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80" w:after="140" w:line="360" w:lineRule="auto"/>
        <w:jc w:val="left"/>
        <w:textAlignment w:val="auto"/>
        <w:outlineLvl w:val="0"/>
        <w:rPr>
          <w:sz w:val="28"/>
          <w:szCs w:val="28"/>
        </w:rPr>
      </w:pPr>
      <w:bookmarkStart w:id="15" w:name="heading_15"/>
      <w:r>
        <w:rPr>
          <w:rFonts w:ascii="Arial" w:hAnsi="Arial" w:eastAsia="等线" w:cs="Arial"/>
          <w:b/>
          <w:sz w:val="28"/>
          <w:szCs w:val="28"/>
        </w:rPr>
        <w:t>六、企业愿景——领航行业发展，助力交通绿色转型</w:t>
      </w:r>
      <w:bookmarkEnd w:id="15"/>
    </w:p>
    <w:p w14:paraId="54AA96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560" w:firstLineChars="200"/>
        <w:jc w:val="left"/>
        <w:textAlignment w:val="auto"/>
        <w:rPr>
          <w:sz w:val="28"/>
          <w:szCs w:val="28"/>
        </w:rPr>
      </w:pPr>
      <w:r>
        <w:rPr>
          <w:rFonts w:ascii="Arial" w:hAnsi="Arial" w:eastAsia="等线" w:cs="Arial"/>
          <w:sz w:val="28"/>
          <w:szCs w:val="28"/>
        </w:rPr>
        <w:t>作为高速公路交能融合领域的先行者与领航者，深圳光谧交能科技有限公司始终锚定国家“双碳”战略与交通强国建设目标，以技术创新为引擎，以业态融合为纽带，持续深化与各省市交投公司的战略合作。</w:t>
      </w:r>
    </w:p>
    <w:p w14:paraId="2A6086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560" w:firstLineChars="200"/>
        <w:jc w:val="left"/>
        <w:textAlignment w:val="auto"/>
        <w:rPr>
          <w:sz w:val="28"/>
          <w:szCs w:val="28"/>
        </w:rPr>
      </w:pPr>
      <w:r>
        <w:rPr>
          <w:rFonts w:ascii="Arial" w:hAnsi="Arial" w:eastAsia="等线" w:cs="Arial"/>
          <w:sz w:val="28"/>
          <w:szCs w:val="28"/>
        </w:rPr>
        <w:t>我们致力于推动交能融合技术的迭代升级与场景拓展，从单一服务区综合能源站建设，延伸至全域高速绿色能源走廊打造，从基础能源供给服务，升级为“交通+能源+乡村振兴+冷链物流”的多业态融合服务生态。未来，我们将持续输出更优质、更高效、更具前瞻性的解决方案，助力交投公司构建绿色、低碳、高效的交通路网体系，引领行业发展方向，为我国交通运输领域绿色高质量发展贡献核心力量，携手共创人与自然和谐共生的绿色未来。</w:t>
      </w:r>
    </w:p>
    <w:p w14:paraId="467DE2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80" w:after="140" w:line="360" w:lineRule="auto"/>
        <w:jc w:val="left"/>
        <w:textAlignment w:val="auto"/>
        <w:outlineLvl w:val="0"/>
        <w:rPr>
          <w:sz w:val="28"/>
          <w:szCs w:val="28"/>
        </w:rPr>
      </w:pPr>
      <w:bookmarkStart w:id="16" w:name="heading_16"/>
      <w:r>
        <w:rPr>
          <w:rFonts w:ascii="Arial" w:hAnsi="Arial" w:eastAsia="等线" w:cs="Arial"/>
          <w:b/>
          <w:sz w:val="28"/>
          <w:szCs w:val="28"/>
        </w:rPr>
        <w:t>七、联系我们——携手交投，共绘发展蓝图</w:t>
      </w:r>
      <w:bookmarkEnd w:id="16"/>
    </w:p>
    <w:p w14:paraId="38189E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560" w:firstLineChars="200"/>
        <w:jc w:val="left"/>
        <w:textAlignment w:val="auto"/>
        <w:rPr>
          <w:sz w:val="28"/>
          <w:szCs w:val="28"/>
        </w:rPr>
      </w:pPr>
      <w:r>
        <w:rPr>
          <w:rFonts w:ascii="Arial" w:hAnsi="Arial" w:eastAsia="等线" w:cs="Arial"/>
          <w:sz w:val="28"/>
          <w:szCs w:val="28"/>
        </w:rPr>
        <w:t>深圳光谧交能科技有限公司</w:t>
      </w:r>
    </w:p>
    <w:p w14:paraId="26CE1F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560" w:firstLineChars="200"/>
        <w:jc w:val="left"/>
        <w:textAlignment w:val="auto"/>
        <w:rPr>
          <w:sz w:val="28"/>
          <w:szCs w:val="28"/>
        </w:rPr>
      </w:pPr>
      <w:r>
        <w:rPr>
          <w:rFonts w:ascii="Arial" w:hAnsi="Arial" w:eastAsia="等线" w:cs="Arial"/>
          <w:sz w:val="28"/>
          <w:szCs w:val="28"/>
        </w:rPr>
        <w:t>战略总部：广东省深圳市XX区XX街道XX大厦XX层</w:t>
      </w:r>
    </w:p>
    <w:p w14:paraId="11D380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560" w:firstLineChars="200"/>
        <w:jc w:val="left"/>
        <w:textAlignment w:val="auto"/>
        <w:rPr>
          <w:sz w:val="28"/>
          <w:szCs w:val="28"/>
        </w:rPr>
      </w:pPr>
      <w:r>
        <w:rPr>
          <w:rFonts w:ascii="Arial" w:hAnsi="Arial" w:eastAsia="等线" w:cs="Arial"/>
          <w:sz w:val="28"/>
          <w:szCs w:val="28"/>
        </w:rPr>
        <w:t>全国服务热线：400-XXXX-XXXX</w:t>
      </w:r>
    </w:p>
    <w:p w14:paraId="519B6D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560" w:firstLineChars="200"/>
        <w:jc w:val="left"/>
        <w:textAlignment w:val="auto"/>
        <w:rPr>
          <w:sz w:val="28"/>
          <w:szCs w:val="28"/>
        </w:rPr>
      </w:pPr>
      <w:r>
        <w:rPr>
          <w:rFonts w:ascii="Arial" w:hAnsi="Arial" w:eastAsia="等线" w:cs="Arial"/>
          <w:sz w:val="28"/>
          <w:szCs w:val="28"/>
        </w:rPr>
        <w:t>商务合作电话：138-XXXX-XXXX</w:t>
      </w:r>
      <w:bookmarkStart w:id="18" w:name="_GoBack"/>
      <w:bookmarkEnd w:id="18"/>
    </w:p>
    <w:p w14:paraId="492490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560" w:firstLineChars="200"/>
        <w:jc w:val="left"/>
        <w:textAlignment w:val="auto"/>
        <w:rPr>
          <w:sz w:val="28"/>
          <w:szCs w:val="28"/>
        </w:rPr>
      </w:pPr>
      <w:r>
        <w:rPr>
          <w:rFonts w:ascii="Arial" w:hAnsi="Arial" w:eastAsia="等线" w:cs="Arial"/>
          <w:sz w:val="28"/>
          <w:szCs w:val="28"/>
        </w:rPr>
        <w:t>官方邮箱：business@guangmi-jiaoneng.com</w:t>
      </w:r>
    </w:p>
    <w:p w14:paraId="09894A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560" w:firstLineChars="200"/>
        <w:jc w:val="left"/>
        <w:textAlignment w:val="auto"/>
        <w:rPr>
          <w:sz w:val="28"/>
          <w:szCs w:val="28"/>
        </w:rPr>
      </w:pPr>
      <w:r>
        <w:rPr>
          <w:rFonts w:ascii="Arial" w:hAnsi="Arial" w:eastAsia="等线" w:cs="Arial"/>
          <w:sz w:val="28"/>
          <w:szCs w:val="28"/>
        </w:rPr>
        <w:t>官方网站：www.guangmi-jiaoneng.com</w:t>
      </w:r>
    </w:p>
    <w:p w14:paraId="05655D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560" w:firstLineChars="200"/>
        <w:jc w:val="left"/>
        <w:textAlignment w:val="auto"/>
        <w:rPr>
          <w:sz w:val="28"/>
          <w:szCs w:val="28"/>
        </w:rPr>
      </w:pPr>
      <w:r>
        <w:rPr>
          <w:rFonts w:ascii="Arial" w:hAnsi="Arial" w:eastAsia="等线" w:cs="Arial"/>
          <w:sz w:val="28"/>
          <w:szCs w:val="28"/>
        </w:rPr>
        <w:t>【二维码：官网/商务合作咨询入口】</w:t>
      </w:r>
    </w:p>
    <w:p w14:paraId="2B7A77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560" w:firstLineChars="200"/>
        <w:jc w:val="left"/>
        <w:textAlignment w:val="auto"/>
        <w:rPr>
          <w:sz w:val="28"/>
          <w:szCs w:val="28"/>
        </w:rPr>
      </w:pPr>
      <w:r>
        <w:rPr>
          <w:rFonts w:ascii="Arial" w:hAnsi="Arial" w:eastAsia="等线" w:cs="Arial"/>
          <w:sz w:val="28"/>
          <w:szCs w:val="28"/>
        </w:rPr>
        <w:t>我们诚挚邀请各省市交投公司莅临考察、洽谈合作，以交能融合为契机，共筑绿色高速生态，共启高质量发展新征程！</w:t>
      </w:r>
    </w:p>
    <w:p w14:paraId="0420CB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80" w:after="140" w:line="360" w:lineRule="auto"/>
        <w:ind w:left="0" w:firstLine="560" w:firstLineChars="200"/>
        <w:jc w:val="left"/>
        <w:textAlignment w:val="auto"/>
        <w:outlineLvl w:val="0"/>
        <w:rPr>
          <w:sz w:val="28"/>
          <w:szCs w:val="28"/>
        </w:rPr>
      </w:pPr>
      <w:bookmarkStart w:id="17" w:name="heading_17"/>
      <w:r>
        <w:rPr>
          <w:rFonts w:ascii="Arial" w:hAnsi="Arial" w:eastAsia="等线" w:cs="Arial"/>
          <w:b/>
          <w:sz w:val="28"/>
          <w:szCs w:val="28"/>
        </w:rPr>
        <w:t>封底</w:t>
      </w:r>
      <w:bookmarkEnd w:id="17"/>
    </w:p>
    <w:p w14:paraId="7434AB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560" w:firstLineChars="200"/>
        <w:jc w:val="left"/>
        <w:textAlignment w:val="auto"/>
        <w:rPr>
          <w:sz w:val="28"/>
          <w:szCs w:val="28"/>
        </w:rPr>
      </w:pPr>
      <w:r>
        <w:rPr>
          <w:rFonts w:ascii="Arial" w:hAnsi="Arial" w:eastAsia="等线" w:cs="Arial"/>
          <w:sz w:val="28"/>
          <w:szCs w:val="28"/>
        </w:rPr>
        <w:t>【深圳光谧交能科技有限公司 LOGO】</w:t>
      </w:r>
    </w:p>
    <w:p w14:paraId="62BEDC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560" w:firstLineChars="200"/>
        <w:jc w:val="left"/>
        <w:textAlignment w:val="auto"/>
        <w:rPr>
          <w:sz w:val="28"/>
          <w:szCs w:val="28"/>
        </w:rPr>
      </w:pPr>
      <w:r>
        <w:rPr>
          <w:rFonts w:ascii="Arial" w:hAnsi="Arial" w:eastAsia="等线" w:cs="Arial"/>
          <w:sz w:val="28"/>
          <w:szCs w:val="28"/>
        </w:rPr>
        <w:t>响应双碳战略 赋能交通强国</w:t>
      </w:r>
    </w:p>
    <w:p w14:paraId="30E786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560" w:firstLineChars="200"/>
        <w:jc w:val="left"/>
        <w:textAlignment w:val="auto"/>
        <w:rPr>
          <w:sz w:val="28"/>
          <w:szCs w:val="28"/>
        </w:rPr>
      </w:pPr>
      <w:r>
        <w:rPr>
          <w:rFonts w:ascii="Arial" w:hAnsi="Arial" w:eastAsia="等线" w:cs="Arial"/>
          <w:sz w:val="28"/>
          <w:szCs w:val="28"/>
        </w:rPr>
        <w:t>深圳光谧交能科技有限公司 · 高速公路交能融合一体化解决方案服务商</w:t>
      </w:r>
    </w:p>
    <w:p w14:paraId="002D4A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560" w:firstLineChars="200"/>
        <w:jc w:val="left"/>
        <w:textAlignment w:val="auto"/>
        <w:rPr>
          <w:sz w:val="28"/>
          <w:szCs w:val="28"/>
        </w:rPr>
      </w:pPr>
      <w:r>
        <w:rPr>
          <w:rFonts w:ascii="Arial" w:hAnsi="Arial" w:eastAsia="等线" w:cs="Arial"/>
          <w:sz w:val="28"/>
          <w:szCs w:val="28"/>
        </w:rPr>
        <w:t>全国服务热线：400-XXXX-XXXX · 官方邮箱：business@guangmi-jiaoneng.com</w:t>
      </w:r>
    </w:p>
    <w:p w14:paraId="5B7883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560" w:firstLineChars="200"/>
        <w:jc w:val="left"/>
        <w:textAlignment w:val="auto"/>
        <w:rPr>
          <w:sz w:val="28"/>
          <w:szCs w:val="28"/>
        </w:rPr>
      </w:pPr>
      <w:r>
        <w:rPr>
          <w:rFonts w:ascii="Arial" w:hAnsi="Arial" w:eastAsia="等线" w:cs="Arial"/>
          <w:sz w:val="28"/>
          <w:szCs w:val="28"/>
        </w:rPr>
        <w:t>版权所有 © 深圳光谧交能科技有限公司 违者必究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11FF9F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B0B375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4"/>
  </w:num>
  <w:num w:numId="2">
    <w:abstractNumId w:val="3"/>
  </w:num>
  <w:num w:numId="3">
    <w:abstractNumId w:val="9"/>
  </w:num>
  <w:num w:numId="4">
    <w:abstractNumId w:val="2"/>
  </w:num>
  <w:num w:numId="5">
    <w:abstractNumId w:val="1"/>
  </w:num>
  <w:num w:numId="6">
    <w:abstractNumId w:val="6"/>
  </w:num>
  <w:num w:numId="7">
    <w:abstractNumId w:val="7"/>
  </w:num>
  <w:num w:numId="8">
    <w:abstractNumId w:val="10"/>
  </w:num>
  <w:num w:numId="9">
    <w:abstractNumId w:val="5"/>
  </w:num>
  <w:num w:numId="10">
    <w:abstractNumId w:val="0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6CCC3389"/>
    <w:rsid w:val="72FF668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3763</Words>
  <Characters>3939</Characters>
  <TotalTime>2</TotalTime>
  <ScaleCrop>false</ScaleCrop>
  <LinksUpToDate>false</LinksUpToDate>
  <CharactersWithSpaces>3973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2026-01-06T08:13:00Z</dcterms:created>
  <dc:creator>Apache POI</dc:creator>
  <cp:lastModifiedBy>千倩凡间记</cp:lastModifiedBy>
  <dcterms:modified xsi:type="dcterms:W3CDTF">2026-01-06T08:18:31Z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eyJoZGlkIjoiNjc2ZWI5MDg5OGIyZGMxZDNlNzM1ODNlNTVkMmVkYzYiLCJ1c2VySWQiOiIxNzIzMTM4MDg5In0=</vt:lpwstr>
  </property>
  <property fmtid="{D5CDD505-2E9C-101B-9397-08002B2CF9AE}" pid="3" name="KSOProductBuildVer">
    <vt:lpwstr>2052-12.1.0.24657</vt:lpwstr>
  </property>
  <property fmtid="{D5CDD505-2E9C-101B-9397-08002B2CF9AE}" pid="4" name="ICV">
    <vt:lpwstr>1DB3D5A072434F6FB1FBD3318789EC34_12</vt:lpwstr>
  </property>
</Properties>
</file>