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pStyle w:val="Title"/>
      </w:pPr>
      <w:r>
        <w:rPr>
          <w:color w:val="1A3C6D"/>
          <w:sz w:val="52"/>
        </w:rPr>
        <w:t>区域健康风险预测与智能诊疗决策</w:t>
      </w:r>
    </w:p>
    <w:p/>
    <w:p>
      <w:pPr>
        <w:jc w:val="center"/>
      </w:pPr>
      <w:r>
        <w:rPr>
          <w:b/>
          <w:color w:val="2980B9"/>
          <w:sz w:val="32"/>
        </w:rPr>
        <w:t>Health Risk Prediction &amp; Intelligent Clinical Decision Support</w:t>
      </w:r>
    </w:p>
    <w:p/>
    <w:p/>
    <w:p>
      <w:pPr>
        <w:jc w:val="center"/>
      </w:pPr>
      <w:r>
        <w:rPr>
          <w:b/>
          <w:color w:val="2C3E50"/>
          <w:sz w:val="44"/>
        </w:rPr>
        <w:t>参赛项目分析报告</w:t>
      </w:r>
    </w:p>
    <w:p/>
    <w:p/>
    <w:p/>
    <w:p>
      <w:pPr>
        <w:jc w:val="center"/>
      </w:pPr>
      <w:r>
        <w:rPr>
          <w:b/>
        </w:rPr>
        <w:t xml:space="preserve">版本: </w:t>
      </w:r>
      <w:r>
        <w:t>V3.0 参赛终版</w:t>
      </w:r>
    </w:p>
    <w:p>
      <w:pPr>
        <w:jc w:val="center"/>
      </w:pPr>
      <w:r>
        <w:rPr>
          <w:b/>
        </w:rPr>
        <w:t xml:space="preserve">日期: </w:t>
      </w:r>
      <w:r>
        <w:t>2026年07月11日</w:t>
      </w:r>
    </w:p>
    <w:p>
      <w:pPr>
        <w:jc w:val="center"/>
      </w:pPr>
      <w:r>
        <w:rPr>
          <w:b/>
        </w:rPr>
        <w:t xml:space="preserve">数据: </w:t>
      </w:r>
      <w:r>
        <w:t>BRFSS 50.7万 + Cardiovascular 7万 + OWID中国 1.1万天 + CHARLS安徽 203人</w:t>
      </w:r>
    </w:p>
    <w:p>
      <w:pPr>
        <w:jc w:val="center"/>
      </w:pPr>
      <w:r>
        <w:rPr>
          <w:b/>
        </w:rPr>
        <w:t xml:space="preserve">建模: </w:t>
      </w:r>
      <w:r>
        <w:t>原始特征(无PCA) | XGBoost/LightGBM Ensemble | SHAP可解释性</w:t>
      </w:r>
    </w:p>
    <w:p>
      <w:pPr>
        <w:jc w:val="center"/>
      </w:pPr>
      <w:r>
        <w:rPr>
          <w:b/>
        </w:rPr>
        <w:t xml:space="preserve">合规: </w:t>
      </w:r>
      <w:r>
        <w:t>公开脱敏数据 | SHA-256+差分隐私+K匿名 | 数据安全法/个人信息保护法</w:t>
      </w:r>
    </w:p>
    <w:p>
      <w:r>
        <w:br w:type="page"/>
      </w:r>
    </w:p>
    <w:p>
      <w:pPr>
        <w:pStyle w:val="Heading1"/>
      </w:pPr>
      <w:r>
        <w:rPr>
          <w:color w:val="2C3E50"/>
          <w:sz w:val="40"/>
        </w:rPr>
        <w:t>一、项目概述</w:t>
      </w:r>
    </w:p>
    <w:p>
      <w:pPr>
        <w:pStyle w:val="Heading2"/>
      </w:pPr>
      <w:r>
        <w:rPr>
          <w:color w:val="2980B9"/>
          <w:sz w:val="30"/>
        </w:rPr>
        <w:t>1.1 研究背景与问题</w:t>
      </w:r>
    </w:p>
    <w:p>
      <w:r>
        <w:rPr>
          <w:b w:val="0"/>
          <w:sz w:val="22"/>
        </w:rPr>
        <w:t>医疗健康数据呈现多模态、高维度、强隐私的显著特征。电子病历、检验检查、医学影像、生命体征时序、医保与公共卫生统计数据等异构信息广泛分布于各类医疗信息系统中。当前，医疗健康领域面临以下核心挑战：</w:t>
      </w:r>
    </w:p>
    <w:p>
      <w:pPr>
        <w:spacing w:before="60" w:after="60"/>
        <w:ind w:left="567"/>
      </w:pPr>
      <w:r>
        <w:rPr>
          <w:sz w:val="21"/>
        </w:rPr>
        <w:t>(1) 数据整合困难：不同来源的医疗数据格式异构、标准不一，非结构化信息利用率低，难以形成统一的患者健康画像。</w:t>
      </w:r>
    </w:p>
    <w:p>
      <w:pPr>
        <w:spacing w:before="60" w:after="60"/>
        <w:ind w:left="567"/>
      </w:pPr>
      <w:r>
        <w:rPr>
          <w:sz w:val="21"/>
        </w:rPr>
        <w:t>(2) 个体化预测不足：传统风险评分工具（如Framingham评分）依赖有限变量和线性假设，对复杂非线性关系的捕捉能力有限。</w:t>
      </w:r>
    </w:p>
    <w:p>
      <w:pPr>
        <w:spacing w:before="60" w:after="60"/>
        <w:ind w:left="567"/>
      </w:pPr>
      <w:r>
        <w:rPr>
          <w:sz w:val="21"/>
        </w:rPr>
        <w:t>(3) 临床决策智能化程度不高：多数医疗信息系统停留在"记录+查询"层面，缺乏基于数据驱动的主动预警和决策支持能力。</w:t>
      </w:r>
    </w:p>
    <w:p>
      <w:pPr>
        <w:spacing w:before="60" w:after="60"/>
        <w:ind w:left="567"/>
      </w:pPr>
      <w:r>
        <w:rPr>
          <w:sz w:val="21"/>
        </w:rPr>
        <w:t>(4) 隐私与合规要求严格：医疗数据涉及患者隐私，在数据利用与隐私保护之间需要精密的平衡。</w:t>
      </w:r>
    </w:p>
    <w:p>
      <w:r>
        <w:rPr>
          <w:b w:val="0"/>
          <w:sz w:val="22"/>
        </w:rPr>
        <w:t>针对上述挑战，本项目以"区域健康风险预测与智能诊疗决策"为核心目标，在严格合规与隐私保护前提下，构建从数据获取、清洗融合、隐私保护到建模分析、可视化决策支持的全流程技术方案。</w:t>
      </w:r>
    </w:p>
    <w:p>
      <w:pPr>
        <w:pStyle w:val="Heading2"/>
      </w:pPr>
      <w:r>
        <w:rPr>
          <w:color w:val="2980B9"/>
          <w:sz w:val="30"/>
        </w:rPr>
        <w:t>1.2 项目目标</w:t>
      </w:r>
    </w:p>
    <w:p>
      <w:r>
        <w:rPr>
          <w:b w:val="0"/>
          <w:sz w:val="22"/>
        </w:rPr>
        <w:t>本项目设定四个层级的目标体系：</w:t>
      </w:r>
    </w:p>
    <w:tbl>
      <w:tblPr>
        <w:tblStyle w:val="LightGrid-Accent1"/>
        <w:tblW w:type="auto" w:w="0"/>
        <w:jc w:val="center"/>
        <w:tblLook w:firstColumn="1" w:firstRow="1" w:lastColumn="0" w:lastRow="0" w:noHBand="0" w:noVBand="1" w:val="04A0"/>
      </w:tblPr>
      <w:tblGrid>
        <w:gridCol w:w="3022"/>
        <w:gridCol w:w="3022"/>
        <w:gridCol w:w="3022"/>
      </w:tblGrid>
      <w:tr>
        <w:tc>
          <w:tcPr>
            <w:tcW w:type="dxa" w:w="3022"/>
          </w:tcPr>
          <w:p>
            <w:r/>
            <w:r>
              <w:rPr>
                <w:b/>
                <w:sz w:val="19"/>
              </w:rPr>
              <w:t>目标层级</w:t>
            </w:r>
          </w:p>
        </w:tc>
        <w:tc>
          <w:tcPr>
            <w:tcW w:type="dxa" w:w="3022"/>
          </w:tcPr>
          <w:p>
            <w:r/>
            <w:r>
              <w:rPr>
                <w:b/>
                <w:sz w:val="19"/>
              </w:rPr>
              <w:t>具体内容</w:t>
            </w:r>
          </w:p>
        </w:tc>
        <w:tc>
          <w:tcPr>
            <w:tcW w:type="dxa" w:w="3022"/>
          </w:tcPr>
          <w:p>
            <w:r/>
            <w:r>
              <w:rPr>
                <w:b/>
                <w:sz w:val="19"/>
              </w:rPr>
              <w:t>预期指标</w:t>
            </w:r>
          </w:p>
        </w:tc>
      </w:tr>
      <w:tr>
        <w:tc>
          <w:tcPr>
            <w:tcW w:type="dxa" w:w="3022"/>
          </w:tcPr>
          <w:p>
            <w:r/>
            <w:r>
              <w:rPr>
                <w:sz w:val="18"/>
              </w:rPr>
              <w:t>数据治理</w:t>
            </w:r>
          </w:p>
        </w:tc>
        <w:tc>
          <w:tcPr>
            <w:tcW w:type="dxa" w:w="3022"/>
          </w:tcPr>
          <w:p>
            <w:r/>
            <w:r>
              <w:rPr>
                <w:sz w:val="18"/>
              </w:rPr>
              <w:t>多源医疗数据获取、清洗、融合、隐私保护</w:t>
            </w:r>
          </w:p>
        </w:tc>
        <w:tc>
          <w:tcPr>
            <w:tcW w:type="dxa" w:w="3022"/>
          </w:tcPr>
          <w:p>
            <w:r/>
            <w:r>
              <w:rPr>
                <w:sz w:val="18"/>
              </w:rPr>
              <w:t>缺失率&lt;5%, epsilon=1.0, K&gt;=5</w:t>
            </w:r>
          </w:p>
        </w:tc>
      </w:tr>
      <w:tr>
        <w:tc>
          <w:tcPr>
            <w:tcW w:type="dxa" w:w="3022"/>
          </w:tcPr>
          <w:p>
            <w:r/>
            <w:r>
              <w:rPr>
                <w:sz w:val="18"/>
              </w:rPr>
              <w:t>风险预测</w:t>
            </w:r>
          </w:p>
        </w:tc>
        <w:tc>
          <w:tcPr>
            <w:tcW w:type="dxa" w:w="3022"/>
          </w:tcPr>
          <w:p>
            <w:r/>
            <w:r>
              <w:rPr>
                <w:sz w:val="18"/>
              </w:rPr>
              <w:t>慢性病风险智能评估、趋势分析、资源需求预测</w:t>
            </w:r>
          </w:p>
        </w:tc>
        <w:tc>
          <w:tcPr>
            <w:tcW w:type="dxa" w:w="3022"/>
          </w:tcPr>
          <w:p>
            <w:r/>
            <w:r>
              <w:rPr>
                <w:sz w:val="18"/>
              </w:rPr>
              <w:t>AUC&gt;=0.85, F1&gt;=0.78, MAPE&lt;15%</w:t>
            </w:r>
          </w:p>
        </w:tc>
      </w:tr>
      <w:tr>
        <w:tc>
          <w:tcPr>
            <w:tcW w:type="dxa" w:w="3022"/>
          </w:tcPr>
          <w:p>
            <w:r/>
            <w:r>
              <w:rPr>
                <w:sz w:val="18"/>
              </w:rPr>
              <w:t>决策支持</w:t>
            </w:r>
          </w:p>
        </w:tc>
        <w:tc>
          <w:tcPr>
            <w:tcW w:type="dxa" w:w="3022"/>
          </w:tcPr>
          <w:p>
            <w:r/>
            <w:r>
              <w:rPr>
                <w:sz w:val="18"/>
              </w:rPr>
              <w:t>区域健康可视化、风险分布、指标趋势、资源负荷</w:t>
            </w:r>
          </w:p>
        </w:tc>
        <w:tc>
          <w:tcPr>
            <w:tcW w:type="dxa" w:w="3022"/>
          </w:tcPr>
          <w:p>
            <w:r/>
            <w:r>
              <w:rPr>
                <w:sz w:val="18"/>
              </w:rPr>
              <w:t>5模块交互面板, PDF/MD双格式报告</w:t>
            </w:r>
          </w:p>
        </w:tc>
      </w:tr>
      <w:tr>
        <w:tc>
          <w:tcPr>
            <w:tcW w:type="dxa" w:w="3022"/>
          </w:tcPr>
          <w:p>
            <w:r/>
            <w:r>
              <w:rPr>
                <w:sz w:val="18"/>
              </w:rPr>
              <w:t>合规保障</w:t>
            </w:r>
          </w:p>
        </w:tc>
        <w:tc>
          <w:tcPr>
            <w:tcW w:type="dxa" w:w="3022"/>
          </w:tcPr>
          <w:p>
            <w:r/>
            <w:r>
              <w:rPr>
                <w:sz w:val="18"/>
              </w:rPr>
              <w:t>脱敏公开数据、哈希加密、差分隐私、K匿名</w:t>
            </w:r>
          </w:p>
        </w:tc>
        <w:tc>
          <w:tcPr>
            <w:tcW w:type="dxa" w:w="3022"/>
          </w:tcPr>
          <w:p>
            <w:r/>
            <w:r>
              <w:rPr>
                <w:sz w:val="18"/>
              </w:rPr>
              <w:t>符合数据安全法+个人信息保护法</w:t>
            </w:r>
          </w:p>
        </w:tc>
      </w:tr>
    </w:tbl>
    <w:p/>
    <w:p>
      <w:pPr>
        <w:pStyle w:val="Heading2"/>
      </w:pPr>
      <w:r>
        <w:rPr>
          <w:color w:val="2980B9"/>
          <w:sz w:val="30"/>
        </w:rPr>
        <w:t>1.3 研究意义</w:t>
      </w:r>
    </w:p>
    <w:p>
      <w:pPr>
        <w:spacing w:before="60" w:after="60"/>
        <w:ind w:left="567"/>
      </w:pPr>
      <w:r>
        <w:rPr>
          <w:sz w:val="21"/>
        </w:rPr>
        <w:t>(1) 方法创新：通过PCA降维与原始特征的严格对比实验，揭示了医疗数据融合中"信息泄露"的风险，为同类研究提供了重要的方法论参考。</w:t>
      </w:r>
    </w:p>
    <w:p>
      <w:pPr>
        <w:spacing w:before="60" w:after="60"/>
        <w:ind w:left="567"/>
      </w:pPr>
      <w:r>
        <w:rPr>
          <w:sz w:val="21"/>
        </w:rPr>
        <w:t>(2) 可解释性突破：SHAP分析将黑盒模型转化为临床可操作的洞察——"收缩压是心血管病#1风险因素(SHAP=0.868)"，实现了数据驱动发现与临床医学知识的相互验证。</w:t>
      </w:r>
    </w:p>
    <w:p>
      <w:pPr>
        <w:spacing w:before="60" w:after="60"/>
        <w:ind w:left="567"/>
      </w:pPr>
      <w:r>
        <w:rPr>
          <w:sz w:val="21"/>
        </w:rPr>
        <w:t>(3) 区域健康实践：集成CHARLS安徽省数据，探索"国际大数据训练+中国区域数据验证"的双轨策略。</w:t>
      </w:r>
    </w:p>
    <w:p>
      <w:pPr>
        <w:spacing w:before="60" w:after="60"/>
        <w:ind w:left="567"/>
      </w:pPr>
      <w:r>
        <w:rPr>
          <w:sz w:val="21"/>
        </w:rPr>
        <w:t>(4) 隐私合规示范：SHA-256+差分隐私(epsilon=1.0)+K-匿名(K&gt;=5)三层防护，为医疗数据安全利用提供技术范本。</w:t>
      </w:r>
    </w:p>
    <w:p>
      <w:r>
        <w:br w:type="page"/>
      </w:r>
    </w:p>
    <w:p>
      <w:pPr>
        <w:pStyle w:val="Heading1"/>
      </w:pPr>
      <w:r>
        <w:rPr>
          <w:color w:val="2C3E50"/>
          <w:sz w:val="40"/>
        </w:rPr>
        <w:t>二、方案设计</w:t>
      </w:r>
    </w:p>
    <w:p>
      <w:pPr>
        <w:pStyle w:val="Heading2"/>
      </w:pPr>
      <w:r>
        <w:rPr>
          <w:color w:val="2980B9"/>
          <w:sz w:val="30"/>
        </w:rPr>
        <w:t>2.1 数据采集方案</w:t>
      </w:r>
    </w:p>
    <w:p>
      <w:r>
        <w:rPr>
          <w:b w:val="0"/>
          <w:sz w:val="22"/>
        </w:rPr>
        <w:t>本项目从15个国际权威公开数据平台系统性采集医疗健康数据，涵盖电子病历、检验检查、健康档案和时序监测四种类型。所有数据均为已脱敏的公开数据集。</w:t>
      </w:r>
    </w:p>
    <w:tbl>
      <w:tblPr>
        <w:tblStyle w:val="LightGrid-Accent1"/>
        <w:tblW w:type="auto" w:w="0"/>
        <w:jc w:val="center"/>
        <w:tblLook w:firstColumn="1" w:firstRow="1" w:lastColumn="0" w:lastRow="0" w:noHBand="0" w:noVBand="1" w:val="04A0"/>
      </w:tblPr>
      <w:tblGrid>
        <w:gridCol w:w="1813"/>
        <w:gridCol w:w="1813"/>
        <w:gridCol w:w="1813"/>
        <w:gridCol w:w="1813"/>
        <w:gridCol w:w="1813"/>
      </w:tblGrid>
      <w:tr>
        <w:tc>
          <w:tcPr>
            <w:tcW w:type="dxa" w:w="1813"/>
          </w:tcPr>
          <w:p>
            <w:r/>
            <w:r>
              <w:rPr>
                <w:b/>
                <w:sz w:val="19"/>
              </w:rPr>
              <w:t>数据类型</w:t>
            </w:r>
          </w:p>
        </w:tc>
        <w:tc>
          <w:tcPr>
            <w:tcW w:type="dxa" w:w="1813"/>
          </w:tcPr>
          <w:p>
            <w:r/>
            <w:r>
              <w:rPr>
                <w:b/>
                <w:sz w:val="19"/>
              </w:rPr>
              <w:t>来源</w:t>
            </w:r>
          </w:p>
        </w:tc>
        <w:tc>
          <w:tcPr>
            <w:tcW w:type="dxa" w:w="1813"/>
          </w:tcPr>
          <w:p>
            <w:r/>
            <w:r>
              <w:rPr>
                <w:b/>
                <w:sz w:val="19"/>
              </w:rPr>
              <w:t>数据集</w:t>
            </w:r>
          </w:p>
        </w:tc>
        <w:tc>
          <w:tcPr>
            <w:tcW w:type="dxa" w:w="1813"/>
          </w:tcPr>
          <w:p>
            <w:r/>
            <w:r>
              <w:rPr>
                <w:b/>
                <w:sz w:val="19"/>
              </w:rPr>
              <w:t>样本量</w:t>
            </w:r>
          </w:p>
        </w:tc>
        <w:tc>
          <w:tcPr>
            <w:tcW w:type="dxa" w:w="1813"/>
          </w:tcPr>
          <w:p>
            <w:r/>
            <w:r>
              <w:rPr>
                <w:b/>
                <w:sz w:val="19"/>
              </w:rPr>
              <w:t>关键变量</w:t>
            </w:r>
          </w:p>
        </w:tc>
      </w:tr>
      <w:tr>
        <w:tc>
          <w:tcPr>
            <w:tcW w:type="dxa" w:w="1813"/>
          </w:tcPr>
          <w:p>
            <w:r/>
            <w:r>
              <w:rPr>
                <w:sz w:val="18"/>
              </w:rPr>
              <w:t>健康档案</w:t>
            </w:r>
          </w:p>
        </w:tc>
        <w:tc>
          <w:tcPr>
            <w:tcW w:type="dxa" w:w="1813"/>
          </w:tcPr>
          <w:p>
            <w:r/>
            <w:r>
              <w:rPr>
                <w:sz w:val="18"/>
              </w:rPr>
              <w:t>CDC BRFSS</w:t>
            </w:r>
          </w:p>
        </w:tc>
        <w:tc>
          <w:tcPr>
            <w:tcW w:type="dxa" w:w="1813"/>
          </w:tcPr>
          <w:p>
            <w:r/>
            <w:r>
              <w:rPr>
                <w:sz w:val="18"/>
              </w:rPr>
              <w:t>糖尿病行为风险指标</w:t>
            </w:r>
          </w:p>
        </w:tc>
        <w:tc>
          <w:tcPr>
            <w:tcW w:type="dxa" w:w="1813"/>
          </w:tcPr>
          <w:p>
            <w:r/>
            <w:r>
              <w:rPr>
                <w:sz w:val="18"/>
              </w:rPr>
              <w:t>253,680</w:t>
            </w:r>
          </w:p>
        </w:tc>
        <w:tc>
          <w:tcPr>
            <w:tcW w:type="dxa" w:w="1813"/>
          </w:tcPr>
          <w:p>
            <w:r/>
            <w:r>
              <w:rPr>
                <w:sz w:val="18"/>
              </w:rPr>
              <w:t>年龄/BMI/血压/胆固醇/吸烟/运动/饮食/教育/收入</w:t>
            </w:r>
          </w:p>
        </w:tc>
      </w:tr>
      <w:tr>
        <w:tc>
          <w:tcPr>
            <w:tcW w:type="dxa" w:w="1813"/>
          </w:tcPr>
          <w:p>
            <w:r/>
            <w:r>
              <w:rPr>
                <w:sz w:val="18"/>
              </w:rPr>
              <w:t>健康档案</w:t>
            </w:r>
          </w:p>
        </w:tc>
        <w:tc>
          <w:tcPr>
            <w:tcW w:type="dxa" w:w="1813"/>
          </w:tcPr>
          <w:p>
            <w:r/>
            <w:r>
              <w:rPr>
                <w:sz w:val="18"/>
              </w:rPr>
              <w:t>CDC BRFSS</w:t>
            </w:r>
          </w:p>
        </w:tc>
        <w:tc>
          <w:tcPr>
            <w:tcW w:type="dxa" w:w="1813"/>
          </w:tcPr>
          <w:p>
            <w:r/>
            <w:r>
              <w:rPr>
                <w:sz w:val="18"/>
              </w:rPr>
              <w:t>心脏病行为风险指标</w:t>
            </w:r>
          </w:p>
        </w:tc>
        <w:tc>
          <w:tcPr>
            <w:tcW w:type="dxa" w:w="1813"/>
          </w:tcPr>
          <w:p>
            <w:r/>
            <w:r>
              <w:rPr>
                <w:sz w:val="18"/>
              </w:rPr>
              <w:t>253,680</w:t>
            </w:r>
          </w:p>
        </w:tc>
        <w:tc>
          <w:tcPr>
            <w:tcW w:type="dxa" w:w="1813"/>
          </w:tcPr>
          <w:p>
            <w:r/>
            <w:r>
              <w:rPr>
                <w:sz w:val="18"/>
              </w:rPr>
              <w:t>同上结构，目标变量为心脏病</w:t>
            </w:r>
          </w:p>
        </w:tc>
      </w:tr>
      <w:tr>
        <w:tc>
          <w:tcPr>
            <w:tcW w:type="dxa" w:w="1813"/>
          </w:tcPr>
          <w:p>
            <w:r/>
            <w:r>
              <w:rPr>
                <w:sz w:val="18"/>
              </w:rPr>
              <w:t>电子病历+检验</w:t>
            </w:r>
          </w:p>
        </w:tc>
        <w:tc>
          <w:tcPr>
            <w:tcW w:type="dxa" w:w="1813"/>
          </w:tcPr>
          <w:p>
            <w:r/>
            <w:r>
              <w:rPr>
                <w:sz w:val="18"/>
              </w:rPr>
              <w:t>Kaggle</w:t>
            </w:r>
          </w:p>
        </w:tc>
        <w:tc>
          <w:tcPr>
            <w:tcW w:type="dxa" w:w="1813"/>
          </w:tcPr>
          <w:p>
            <w:r/>
            <w:r>
              <w:rPr>
                <w:sz w:val="18"/>
              </w:rPr>
              <w:t>心血管疾病</w:t>
            </w:r>
          </w:p>
        </w:tc>
        <w:tc>
          <w:tcPr>
            <w:tcW w:type="dxa" w:w="1813"/>
          </w:tcPr>
          <w:p>
            <w:r/>
            <w:r>
              <w:rPr>
                <w:sz w:val="18"/>
              </w:rPr>
              <w:t>70,000</w:t>
            </w:r>
          </w:p>
        </w:tc>
        <w:tc>
          <w:tcPr>
            <w:tcW w:type="dxa" w:w="1813"/>
          </w:tcPr>
          <w:p>
            <w:r/>
            <w:r>
              <w:rPr>
                <w:sz w:val="18"/>
              </w:rPr>
              <w:t>实测身高(cm)/体重(kg)/收缩压/舒张压/胆固醇/血糖</w:t>
            </w:r>
          </w:p>
        </w:tc>
      </w:tr>
      <w:tr>
        <w:tc>
          <w:tcPr>
            <w:tcW w:type="dxa" w:w="1813"/>
          </w:tcPr>
          <w:p>
            <w:r/>
            <w:r>
              <w:rPr>
                <w:sz w:val="18"/>
              </w:rPr>
              <w:t>检验检查</w:t>
            </w:r>
          </w:p>
        </w:tc>
        <w:tc>
          <w:tcPr>
            <w:tcW w:type="dxa" w:w="1813"/>
          </w:tcPr>
          <w:p>
            <w:r/>
            <w:r>
              <w:rPr>
                <w:sz w:val="18"/>
              </w:rPr>
              <w:t>Kaggle/UCI</w:t>
            </w:r>
          </w:p>
        </w:tc>
        <w:tc>
          <w:tcPr>
            <w:tcW w:type="dxa" w:w="1813"/>
          </w:tcPr>
          <w:p>
            <w:r/>
            <w:r>
              <w:rPr>
                <w:sz w:val="18"/>
              </w:rPr>
              <w:t>Pima糖尿病</w:t>
            </w:r>
          </w:p>
        </w:tc>
        <w:tc>
          <w:tcPr>
            <w:tcW w:type="dxa" w:w="1813"/>
          </w:tcPr>
          <w:p>
            <w:r/>
            <w:r>
              <w:rPr>
                <w:sz w:val="18"/>
              </w:rPr>
              <w:t>768</w:t>
            </w:r>
          </w:p>
        </w:tc>
        <w:tc>
          <w:tcPr>
            <w:tcW w:type="dxa" w:w="1813"/>
          </w:tcPr>
          <w:p>
            <w:r/>
            <w:r>
              <w:rPr>
                <w:sz w:val="18"/>
              </w:rPr>
              <w:t>血糖/胰岛素/BMI/年龄/糖尿病家族史</w:t>
            </w:r>
          </w:p>
        </w:tc>
      </w:tr>
      <w:tr>
        <w:tc>
          <w:tcPr>
            <w:tcW w:type="dxa" w:w="1813"/>
          </w:tcPr>
          <w:p>
            <w:r/>
            <w:r>
              <w:rPr>
                <w:sz w:val="18"/>
              </w:rPr>
              <w:t>电子病历</w:t>
            </w:r>
          </w:p>
        </w:tc>
        <w:tc>
          <w:tcPr>
            <w:tcW w:type="dxa" w:w="1813"/>
          </w:tcPr>
          <w:p>
            <w:r/>
            <w:r>
              <w:rPr>
                <w:sz w:val="18"/>
              </w:rPr>
              <w:t>UCI</w:t>
            </w:r>
          </w:p>
        </w:tc>
        <w:tc>
          <w:tcPr>
            <w:tcW w:type="dxa" w:w="1813"/>
          </w:tcPr>
          <w:p>
            <w:r/>
            <w:r>
              <w:rPr>
                <w:sz w:val="18"/>
              </w:rPr>
              <w:t>克利夫兰心脏病</w:t>
            </w:r>
          </w:p>
        </w:tc>
        <w:tc>
          <w:tcPr>
            <w:tcW w:type="dxa" w:w="1813"/>
          </w:tcPr>
          <w:p>
            <w:r/>
            <w:r>
              <w:rPr>
                <w:sz w:val="18"/>
              </w:rPr>
              <w:t>1,025</w:t>
            </w:r>
          </w:p>
        </w:tc>
        <w:tc>
          <w:tcPr>
            <w:tcW w:type="dxa" w:w="1813"/>
          </w:tcPr>
          <w:p>
            <w:r/>
            <w:r>
              <w:rPr>
                <w:sz w:val="18"/>
              </w:rPr>
              <w:t>年龄/胸痛/静息血压/胆固醇/心电图/最大心率</w:t>
            </w:r>
          </w:p>
        </w:tc>
      </w:tr>
      <w:tr>
        <w:tc>
          <w:tcPr>
            <w:tcW w:type="dxa" w:w="1813"/>
          </w:tcPr>
          <w:p>
            <w:r/>
            <w:r>
              <w:rPr>
                <w:sz w:val="18"/>
              </w:rPr>
              <w:t>时序监测</w:t>
            </w:r>
          </w:p>
        </w:tc>
        <w:tc>
          <w:tcPr>
            <w:tcW w:type="dxa" w:w="1813"/>
          </w:tcPr>
          <w:p>
            <w:r/>
            <w:r>
              <w:rPr>
                <w:sz w:val="18"/>
              </w:rPr>
              <w:t>WHO GHO</w:t>
            </w:r>
          </w:p>
        </w:tc>
        <w:tc>
          <w:tcPr>
            <w:tcW w:type="dxa" w:w="1813"/>
          </w:tcPr>
          <w:p>
            <w:r/>
            <w:r>
              <w:rPr>
                <w:sz w:val="18"/>
              </w:rPr>
              <w:t>全球卫生统计</w:t>
            </w:r>
          </w:p>
        </w:tc>
        <w:tc>
          <w:tcPr>
            <w:tcW w:type="dxa" w:w="1813"/>
          </w:tcPr>
          <w:p>
            <w:r/>
            <w:r>
              <w:rPr>
                <w:sz w:val="18"/>
              </w:rPr>
              <w:t>290,893</w:t>
            </w:r>
          </w:p>
        </w:tc>
        <w:tc>
          <w:tcPr>
            <w:tcW w:type="dxa" w:w="1813"/>
          </w:tcPr>
          <w:p>
            <w:r/>
            <w:r>
              <w:rPr>
                <w:sz w:val="18"/>
              </w:rPr>
              <w:t>BMI/血糖/血压/胆固醇/预期寿命/NCD死亡率</w:t>
            </w:r>
          </w:p>
        </w:tc>
      </w:tr>
      <w:tr>
        <w:tc>
          <w:tcPr>
            <w:tcW w:type="dxa" w:w="1813"/>
          </w:tcPr>
          <w:p>
            <w:r/>
            <w:r>
              <w:rPr>
                <w:sz w:val="18"/>
              </w:rPr>
              <w:t>时序监测</w:t>
            </w:r>
          </w:p>
        </w:tc>
        <w:tc>
          <w:tcPr>
            <w:tcW w:type="dxa" w:w="1813"/>
          </w:tcPr>
          <w:p>
            <w:r/>
            <w:r>
              <w:rPr>
                <w:sz w:val="18"/>
              </w:rPr>
              <w:t>NCD-RisC</w:t>
            </w:r>
          </w:p>
        </w:tc>
        <w:tc>
          <w:tcPr>
            <w:tcW w:type="dxa" w:w="1813"/>
          </w:tcPr>
          <w:p>
            <w:r/>
            <w:r>
              <w:rPr>
                <w:sz w:val="18"/>
              </w:rPr>
              <w:t>全球慢病趋势</w:t>
            </w:r>
          </w:p>
        </w:tc>
        <w:tc>
          <w:tcPr>
            <w:tcW w:type="dxa" w:w="1813"/>
          </w:tcPr>
          <w:p>
            <w:r/>
            <w:r>
              <w:rPr>
                <w:sz w:val="18"/>
              </w:rPr>
              <w:t>500,000+</w:t>
            </w:r>
          </w:p>
        </w:tc>
        <w:tc>
          <w:tcPr>
            <w:tcW w:type="dxa" w:w="1813"/>
          </w:tcPr>
          <w:p>
            <w:r/>
            <w:r>
              <w:rPr>
                <w:sz w:val="18"/>
              </w:rPr>
              <w:t>200+国家BMI/血压/胆固醇/糖尿病趋势(1975-2024)</w:t>
            </w:r>
          </w:p>
        </w:tc>
      </w:tr>
      <w:tr>
        <w:tc>
          <w:tcPr>
            <w:tcW w:type="dxa" w:w="1813"/>
          </w:tcPr>
          <w:p>
            <w:r/>
            <w:r>
              <w:rPr>
                <w:sz w:val="18"/>
              </w:rPr>
              <w:t>时序监测</w:t>
            </w:r>
          </w:p>
        </w:tc>
        <w:tc>
          <w:tcPr>
            <w:tcW w:type="dxa" w:w="1813"/>
          </w:tcPr>
          <w:p>
            <w:r/>
            <w:r>
              <w:rPr>
                <w:sz w:val="18"/>
              </w:rPr>
              <w:t>OWID</w:t>
            </w:r>
          </w:p>
        </w:tc>
        <w:tc>
          <w:tcPr>
            <w:tcW w:type="dxa" w:w="1813"/>
          </w:tcPr>
          <w:p>
            <w:r/>
            <w:r>
              <w:rPr>
                <w:sz w:val="18"/>
              </w:rPr>
              <w:t>COVID-19全球</w:t>
            </w:r>
          </w:p>
        </w:tc>
        <w:tc>
          <w:tcPr>
            <w:tcW w:type="dxa" w:w="1813"/>
          </w:tcPr>
          <w:p>
            <w:r/>
            <w:r>
              <w:rPr>
                <w:sz w:val="18"/>
              </w:rPr>
              <w:t>591,522</w:t>
            </w:r>
          </w:p>
        </w:tc>
        <w:tc>
          <w:tcPr>
            <w:tcW w:type="dxa" w:w="1813"/>
          </w:tcPr>
          <w:p>
            <w:r/>
            <w:r>
              <w:rPr>
                <w:sz w:val="18"/>
              </w:rPr>
              <w:t>确诊/死亡/住院/ICU/疫苗接种时序</w:t>
            </w:r>
          </w:p>
        </w:tc>
      </w:tr>
      <w:tr>
        <w:tc>
          <w:tcPr>
            <w:tcW w:type="dxa" w:w="1813"/>
          </w:tcPr>
          <w:p>
            <w:r/>
            <w:r>
              <w:rPr>
                <w:sz w:val="18"/>
              </w:rPr>
              <w:t>健康档案</w:t>
            </w:r>
          </w:p>
        </w:tc>
        <w:tc>
          <w:tcPr>
            <w:tcW w:type="dxa" w:w="1813"/>
          </w:tcPr>
          <w:p>
            <w:r/>
            <w:r>
              <w:rPr>
                <w:sz w:val="18"/>
              </w:rPr>
              <w:t>CHARLS 2020</w:t>
            </w:r>
          </w:p>
        </w:tc>
        <w:tc>
          <w:tcPr>
            <w:tcW w:type="dxa" w:w="1813"/>
          </w:tcPr>
          <w:p>
            <w:r/>
            <w:r>
              <w:rPr>
                <w:sz w:val="18"/>
              </w:rPr>
              <w:t>中国健康与养老(安徽)</w:t>
            </w:r>
          </w:p>
        </w:tc>
        <w:tc>
          <w:tcPr>
            <w:tcW w:type="dxa" w:w="1813"/>
          </w:tcPr>
          <w:p>
            <w:r/>
            <w:r>
              <w:rPr>
                <w:sz w:val="18"/>
              </w:rPr>
              <w:t>203</w:t>
            </w:r>
          </w:p>
        </w:tc>
        <w:tc>
          <w:tcPr>
            <w:tcW w:type="dxa" w:w="1813"/>
          </w:tcPr>
          <w:p>
            <w:r/>
            <w:r>
              <w:rPr>
                <w:sz w:val="18"/>
              </w:rPr>
              <w:t>15种慢性病+ADL+CES-D+COVID+人口学</w:t>
            </w:r>
          </w:p>
        </w:tc>
      </w:tr>
    </w:tbl>
    <w:p>
      <w:r>
        <w:rPr>
          <w:b w:val="0"/>
          <w:color w:val="95A5A6"/>
          <w:sz w:val="16"/>
        </w:rPr>
        <w:t>表1: 数据采集来源与规模总览</w:t>
      </w:r>
    </w:p>
    <w:p/>
    <w:p>
      <w:pPr>
        <w:pStyle w:val="Heading2"/>
      </w:pPr>
      <w:r>
        <w:rPr>
          <w:color w:val="2980B9"/>
          <w:sz w:val="30"/>
        </w:rPr>
        <w:t>2.2 数据分析流程</w:t>
      </w:r>
    </w:p>
    <w:p>
      <w:r>
        <w:rPr>
          <w:b w:val="0"/>
          <w:sz w:val="22"/>
        </w:rPr>
        <w:t>项目采用四阶段递进式分析流程：</w:t>
      </w:r>
    </w:p>
    <w:p>
      <w:r>
        <w:rPr>
          <w:b/>
          <w:sz w:val="22"/>
        </w:rPr>
        <w:t>阶段一：数据获取与治理</w:t>
      </w:r>
    </w:p>
    <w:p>
      <w:pPr>
        <w:spacing w:before="60" w:after="60"/>
        <w:ind w:left="567"/>
      </w:pPr>
      <w:r>
        <w:rPr>
          <w:sz w:val="21"/>
        </w:rPr>
        <w:t>95个原始文件 -&gt; 缺失值处理(阈值40%+MICE/KNN/中位数) -&gt; IQR异常值截尾 -&gt; 分类编码 -&gt; Z-Score标准化 -&gt; 59个标准化Parquet文件</w:t>
      </w:r>
    </w:p>
    <w:p>
      <w:r>
        <w:rPr>
          <w:b/>
          <w:sz w:val="22"/>
        </w:rPr>
        <w:t>阶段二：多模态融合与隐私保护</w:t>
      </w:r>
    </w:p>
    <w:p>
      <w:pPr>
        <w:spacing w:before="60" w:after="60"/>
        <w:ind w:left="567"/>
      </w:pPr>
      <w:r>
        <w:rPr>
          <w:sz w:val="21"/>
        </w:rPr>
        <w:t>主题域分组(慢性病/临床风险/医疗运营/疫情时序) -&gt; 特征工程(对数+交互+多项式) -&gt; SelectKBest+PCA -&gt; SHA-256+Laplace差分隐私+K-匿名</w:t>
      </w:r>
    </w:p>
    <w:p>
      <w:r>
        <w:rPr>
          <w:b/>
          <w:sz w:val="22"/>
        </w:rPr>
        <w:t>阶段三：建模与分析 (V1-&gt;V2迭代)</w:t>
      </w:r>
    </w:p>
    <w:p>
      <w:pPr>
        <w:spacing w:before="60" w:after="60"/>
        <w:ind w:left="567"/>
      </w:pPr>
      <w:r>
        <w:rPr>
          <w:sz w:val="21"/>
        </w:rPr>
        <w:t>V1(PCA融合): AUC=0.998 -&gt; 经严格对比确认为信息泄露 -&gt; 弃用</w:t>
      </w:r>
    </w:p>
    <w:p>
      <w:pPr>
        <w:spacing w:before="60" w:after="60"/>
        <w:ind w:left="567"/>
      </w:pPr>
      <w:r>
        <w:rPr>
          <w:sz w:val="21"/>
        </w:rPr>
        <w:t>V2(原始特征): BRFSS 21维可读特征 -&gt; XGBoost AUC=0.83-0.85 -&gt; SHAP完全可解释 -&gt; 采用</w:t>
      </w:r>
    </w:p>
    <w:p>
      <w:r>
        <w:rPr>
          <w:b/>
          <w:sz w:val="22"/>
        </w:rPr>
        <w:t>阶段四：可视化与决策支持</w:t>
      </w:r>
    </w:p>
    <w:p>
      <w:pPr>
        <w:spacing w:before="60" w:after="60"/>
        <w:ind w:left="567"/>
      </w:pPr>
      <w:r>
        <w:rPr>
          <w:sz w:val="21"/>
        </w:rPr>
        <w:t>Dash交互式Web面板(5标签页) + 独立HTML仪表板(17KB零依赖) + Markdown/PDF双格式报告自动导出</w:t>
      </w:r>
    </w:p>
    <w:p>
      <w:pPr>
        <w:pStyle w:val="Heading2"/>
      </w:pPr>
      <w:r>
        <w:rPr>
          <w:color w:val="2980B9"/>
          <w:sz w:val="30"/>
        </w:rPr>
        <w:t>2.3 模型方法</w:t>
      </w:r>
    </w:p>
    <w:tbl>
      <w:tblPr>
        <w:tblStyle w:val="LightGrid-Accent1"/>
        <w:tblW w:type="auto" w:w="0"/>
        <w:jc w:val="center"/>
        <w:tblLook w:firstColumn="1" w:firstRow="1" w:lastColumn="0" w:lastRow="0" w:noHBand="0" w:noVBand="1" w:val="04A0"/>
      </w:tblPr>
      <w:tblGrid>
        <w:gridCol w:w="2266"/>
        <w:gridCol w:w="2266"/>
        <w:gridCol w:w="2266"/>
        <w:gridCol w:w="2266"/>
      </w:tblGrid>
      <w:tr>
        <w:tc>
          <w:tcPr>
            <w:tcW w:type="dxa" w:w="2266"/>
          </w:tcPr>
          <w:p>
            <w:r/>
            <w:r>
              <w:rPr>
                <w:b/>
                <w:sz w:val="19"/>
              </w:rPr>
              <w:t>模型</w:t>
            </w:r>
          </w:p>
        </w:tc>
        <w:tc>
          <w:tcPr>
            <w:tcW w:type="dxa" w:w="2266"/>
          </w:tcPr>
          <w:p>
            <w:r/>
            <w:r>
              <w:rPr>
                <w:b/>
                <w:sz w:val="19"/>
              </w:rPr>
              <w:t>核心原理</w:t>
            </w:r>
          </w:p>
        </w:tc>
        <w:tc>
          <w:tcPr>
            <w:tcW w:type="dxa" w:w="2266"/>
          </w:tcPr>
          <w:p>
            <w:r/>
            <w:r>
              <w:rPr>
                <w:b/>
                <w:sz w:val="19"/>
              </w:rPr>
              <w:t>参数配置</w:t>
            </w:r>
          </w:p>
        </w:tc>
        <w:tc>
          <w:tcPr>
            <w:tcW w:type="dxa" w:w="2266"/>
          </w:tcPr>
          <w:p>
            <w:r/>
            <w:r>
              <w:rPr>
                <w:b/>
                <w:sz w:val="19"/>
              </w:rPr>
              <w:t>适用场景</w:t>
            </w:r>
          </w:p>
        </w:tc>
      </w:tr>
      <w:tr>
        <w:tc>
          <w:tcPr>
            <w:tcW w:type="dxa" w:w="2266"/>
          </w:tcPr>
          <w:p>
            <w:r/>
            <w:r>
              <w:rPr>
                <w:sz w:val="18"/>
              </w:rPr>
              <w:t>XGBoost</w:t>
            </w:r>
          </w:p>
        </w:tc>
        <w:tc>
          <w:tcPr>
            <w:tcW w:type="dxa" w:w="2266"/>
          </w:tcPr>
          <w:p>
            <w:r/>
            <w:r>
              <w:rPr>
                <w:sz w:val="18"/>
              </w:rPr>
              <w:t>残差梯度迭代: 每棵新树拟合前序残差，加权集成</w:t>
            </w:r>
          </w:p>
        </w:tc>
        <w:tc>
          <w:tcPr>
            <w:tcW w:type="dxa" w:w="2266"/>
          </w:tcPr>
          <w:p>
            <w:r/>
            <w:r>
              <w:rPr>
                <w:sz w:val="18"/>
              </w:rPr>
              <w:t>n=200, depth=7, lr=0.1</w:t>
            </w:r>
          </w:p>
        </w:tc>
        <w:tc>
          <w:tcPr>
            <w:tcW w:type="dxa" w:w="2266"/>
          </w:tcPr>
          <w:p>
            <w:r/>
            <w:r>
              <w:rPr>
                <w:sz w:val="18"/>
              </w:rPr>
              <w:t>大数据集非线性模式发现</w:t>
            </w:r>
          </w:p>
        </w:tc>
      </w:tr>
      <w:tr>
        <w:tc>
          <w:tcPr>
            <w:tcW w:type="dxa" w:w="2266"/>
          </w:tcPr>
          <w:p>
            <w:r/>
            <w:r>
              <w:rPr>
                <w:sz w:val="18"/>
              </w:rPr>
              <w:t>LightGBM</w:t>
            </w:r>
          </w:p>
        </w:tc>
        <w:tc>
          <w:tcPr>
            <w:tcW w:type="dxa" w:w="2266"/>
          </w:tcPr>
          <w:p>
            <w:r/>
            <w:r>
              <w:rPr>
                <w:sz w:val="18"/>
              </w:rPr>
              <w:t>直方图梯度提升: 叶子优先生长，训练更快</w:t>
            </w:r>
          </w:p>
        </w:tc>
        <w:tc>
          <w:tcPr>
            <w:tcW w:type="dxa" w:w="2266"/>
          </w:tcPr>
          <w:p>
            <w:r/>
            <w:r>
              <w:rPr>
                <w:sz w:val="18"/>
              </w:rPr>
              <w:t>n=200, depth=7, lr=0.1, leaves=31</w:t>
            </w:r>
          </w:p>
        </w:tc>
        <w:tc>
          <w:tcPr>
            <w:tcW w:type="dxa" w:w="2266"/>
          </w:tcPr>
          <w:p>
            <w:r/>
            <w:r>
              <w:rPr>
                <w:sz w:val="18"/>
              </w:rPr>
              <w:t>大数据集高效训练</w:t>
            </w:r>
          </w:p>
        </w:tc>
      </w:tr>
      <w:tr>
        <w:tc>
          <w:tcPr>
            <w:tcW w:type="dxa" w:w="2266"/>
          </w:tcPr>
          <w:p>
            <w:r/>
            <w:r>
              <w:rPr>
                <w:sz w:val="18"/>
              </w:rPr>
              <w:t>Logistic Regression</w:t>
            </w:r>
          </w:p>
        </w:tc>
        <w:tc>
          <w:tcPr>
            <w:tcW w:type="dxa" w:w="2266"/>
          </w:tcPr>
          <w:p>
            <w:r/>
            <w:r>
              <w:rPr>
                <w:sz w:val="18"/>
              </w:rPr>
              <w:t>线性加权+Sigmoid: wi*xi+b -&gt; 概率</w:t>
            </w:r>
          </w:p>
        </w:tc>
        <w:tc>
          <w:tcPr>
            <w:tcW w:type="dxa" w:w="2266"/>
          </w:tcPr>
          <w:p>
            <w:r/>
            <w:r>
              <w:rPr>
                <w:sz w:val="18"/>
              </w:rPr>
              <w:t>balanced, max_iter=5000</w:t>
            </w:r>
          </w:p>
        </w:tc>
        <w:tc>
          <w:tcPr>
            <w:tcW w:type="dxa" w:w="2266"/>
          </w:tcPr>
          <w:p>
            <w:r/>
            <w:r>
              <w:rPr>
                <w:sz w:val="18"/>
              </w:rPr>
              <w:t>基准参照(Baseline)</w:t>
            </w:r>
          </w:p>
        </w:tc>
      </w:tr>
      <w:tr>
        <w:tc>
          <w:tcPr>
            <w:tcW w:type="dxa" w:w="2266"/>
          </w:tcPr>
          <w:p>
            <w:r/>
            <w:r>
              <w:rPr>
                <w:sz w:val="18"/>
              </w:rPr>
              <w:t>Voting Ensemble</w:t>
            </w:r>
          </w:p>
        </w:tc>
        <w:tc>
          <w:tcPr>
            <w:tcW w:type="dxa" w:w="2266"/>
          </w:tcPr>
          <w:p>
            <w:r/>
            <w:r>
              <w:rPr>
                <w:sz w:val="18"/>
              </w:rPr>
              <w:t>三模型概率加权平均: P=avg(P_xgb,P_lgb,P_lr)</w:t>
            </w:r>
          </w:p>
        </w:tc>
        <w:tc>
          <w:tcPr>
            <w:tcW w:type="dxa" w:w="2266"/>
          </w:tcPr>
          <w:p>
            <w:r/>
            <w:r>
              <w:rPr>
                <w:sz w:val="18"/>
              </w:rPr>
              <w:t>voting=soft</w:t>
            </w:r>
          </w:p>
        </w:tc>
        <w:tc>
          <w:tcPr>
            <w:tcW w:type="dxa" w:w="2266"/>
          </w:tcPr>
          <w:p>
            <w:r/>
            <w:r>
              <w:rPr>
                <w:sz w:val="18"/>
              </w:rPr>
              <w:t>综合最优，降低单模型偏差</w:t>
            </w:r>
          </w:p>
        </w:tc>
      </w:tr>
    </w:tbl>
    <w:p/>
    <w:p>
      <w:r>
        <w:rPr>
          <w:b w:val="0"/>
          <w:sz w:val="22"/>
        </w:rPr>
        <w:t>超参数调优采用GridSearchCV+5折StratifiedKFold交叉验证，评分标准ROC-AUC。所有实验固定random_state=42保证可复现。</w:t>
      </w:r>
    </w:p>
    <w:p>
      <w:r>
        <w:rPr>
          <w:b w:val="0"/>
          <w:sz w:val="22"/>
        </w:rPr>
        <w:t>可解释性采用SHAP (SHapley Additive exPlanations)，基于博弈论Shapley值计算每个特征对单个预测的边际贡献。TreeExplainer针对树模型优化使得SHAP计算在50万样本级仍然高效。</w:t>
      </w:r>
    </w:p>
    <w:p>
      <w:pPr>
        <w:pStyle w:val="Heading2"/>
      </w:pPr>
      <w:r>
        <w:rPr>
          <w:color w:val="2980B9"/>
          <w:sz w:val="30"/>
        </w:rPr>
        <w:t>2.4 隐私安全方案</w:t>
      </w:r>
    </w:p>
    <w:tbl>
      <w:tblPr>
        <w:tblStyle w:val="LightGrid-Accent1"/>
        <w:tblW w:type="auto" w:w="0"/>
        <w:jc w:val="center"/>
        <w:tblLook w:firstColumn="1" w:firstRow="1" w:lastColumn="0" w:lastRow="0" w:noHBand="0" w:noVBand="1" w:val="04A0"/>
      </w:tblPr>
      <w:tblGrid>
        <w:gridCol w:w="2266"/>
        <w:gridCol w:w="2266"/>
        <w:gridCol w:w="2266"/>
        <w:gridCol w:w="2266"/>
      </w:tblGrid>
      <w:tr>
        <w:tc>
          <w:tcPr>
            <w:tcW w:type="dxa" w:w="2266"/>
          </w:tcPr>
          <w:p>
            <w:r/>
            <w:r>
              <w:rPr>
                <w:b/>
                <w:sz w:val="19"/>
              </w:rPr>
              <w:t>防护层</w:t>
            </w:r>
          </w:p>
        </w:tc>
        <w:tc>
          <w:tcPr>
            <w:tcW w:type="dxa" w:w="2266"/>
          </w:tcPr>
          <w:p>
            <w:r/>
            <w:r>
              <w:rPr>
                <w:b/>
                <w:sz w:val="19"/>
              </w:rPr>
              <w:t>技术方法</w:t>
            </w:r>
          </w:p>
        </w:tc>
        <w:tc>
          <w:tcPr>
            <w:tcW w:type="dxa" w:w="2266"/>
          </w:tcPr>
          <w:p>
            <w:r/>
            <w:r>
              <w:rPr>
                <w:b/>
                <w:sz w:val="19"/>
              </w:rPr>
              <w:t>参数</w:t>
            </w:r>
          </w:p>
        </w:tc>
        <w:tc>
          <w:tcPr>
            <w:tcW w:type="dxa" w:w="2266"/>
          </w:tcPr>
          <w:p>
            <w:r/>
            <w:r>
              <w:rPr>
                <w:b/>
                <w:sz w:val="19"/>
              </w:rPr>
              <w:t>原理</w:t>
            </w:r>
          </w:p>
        </w:tc>
      </w:tr>
      <w:tr>
        <w:tc>
          <w:tcPr>
            <w:tcW w:type="dxa" w:w="2266"/>
          </w:tcPr>
          <w:p>
            <w:r/>
            <w:r>
              <w:rPr>
                <w:sz w:val="18"/>
              </w:rPr>
              <w:t>标识符脱敏</w:t>
            </w:r>
          </w:p>
        </w:tc>
        <w:tc>
          <w:tcPr>
            <w:tcW w:type="dxa" w:w="2266"/>
          </w:tcPr>
          <w:p>
            <w:r/>
            <w:r>
              <w:rPr>
                <w:sz w:val="18"/>
              </w:rPr>
              <w:t>SHA-256哈希</w:t>
            </w:r>
          </w:p>
        </w:tc>
        <w:tc>
          <w:tcPr>
            <w:tcW w:type="dxa" w:w="2266"/>
          </w:tcPr>
          <w:p>
            <w:r/>
            <w:r>
              <w:rPr>
                <w:sz w:val="18"/>
              </w:rPr>
              <w:t>截断至16字符</w:t>
            </w:r>
          </w:p>
        </w:tc>
        <w:tc>
          <w:tcPr>
            <w:tcW w:type="dxa" w:w="2266"/>
          </w:tcPr>
          <w:p>
            <w:r/>
            <w:r>
              <w:rPr>
                <w:sz w:val="18"/>
              </w:rPr>
              <w:t>密码学单向函数: 不可逆映射</w:t>
            </w:r>
          </w:p>
        </w:tc>
      </w:tr>
      <w:tr>
        <w:tc>
          <w:tcPr>
            <w:tcW w:type="dxa" w:w="2266"/>
          </w:tcPr>
          <w:p>
            <w:r/>
            <w:r>
              <w:rPr>
                <w:sz w:val="18"/>
              </w:rPr>
              <w:t>差分隐私</w:t>
            </w:r>
          </w:p>
        </w:tc>
        <w:tc>
          <w:tcPr>
            <w:tcW w:type="dxa" w:w="2266"/>
          </w:tcPr>
          <w:p>
            <w:r/>
            <w:r>
              <w:rPr>
                <w:sz w:val="18"/>
              </w:rPr>
              <w:t>Laplace机制</w:t>
            </w:r>
          </w:p>
        </w:tc>
        <w:tc>
          <w:tcPr>
            <w:tcW w:type="dxa" w:w="2266"/>
          </w:tcPr>
          <w:p>
            <w:r/>
            <w:r>
              <w:rPr>
                <w:sz w:val="18"/>
              </w:rPr>
              <w:t>epsilon=1.0</w:t>
            </w:r>
          </w:p>
        </w:tc>
        <w:tc>
          <w:tcPr>
            <w:tcW w:type="dxa" w:w="2266"/>
          </w:tcPr>
          <w:p>
            <w:r/>
            <w:r>
              <w:rPr>
                <w:sz w:val="18"/>
              </w:rPr>
              <w:t>注入拉普拉斯噪声: Lap(0, sensitivity/epsilon)</w:t>
            </w:r>
          </w:p>
        </w:tc>
      </w:tr>
      <w:tr>
        <w:tc>
          <w:tcPr>
            <w:tcW w:type="dxa" w:w="2266"/>
          </w:tcPr>
          <w:p>
            <w:r/>
            <w:r>
              <w:rPr>
                <w:sz w:val="18"/>
              </w:rPr>
              <w:t>K-匿名性</w:t>
            </w:r>
          </w:p>
        </w:tc>
        <w:tc>
          <w:tcPr>
            <w:tcW w:type="dxa" w:w="2266"/>
          </w:tcPr>
          <w:p>
            <w:r/>
            <w:r>
              <w:rPr>
                <w:sz w:val="18"/>
              </w:rPr>
              <w:t>泛化+分箱</w:t>
            </w:r>
          </w:p>
        </w:tc>
        <w:tc>
          <w:tcPr>
            <w:tcW w:type="dxa" w:w="2266"/>
          </w:tcPr>
          <w:p>
            <w:r/>
            <w:r>
              <w:rPr>
                <w:sz w:val="18"/>
              </w:rPr>
              <w:t>K&gt;=5</w:t>
            </w:r>
          </w:p>
        </w:tc>
        <w:tc>
          <w:tcPr>
            <w:tcW w:type="dxa" w:w="2266"/>
          </w:tcPr>
          <w:p>
            <w:r/>
            <w:r>
              <w:rPr>
                <w:sz w:val="18"/>
              </w:rPr>
              <w:t>每个等价类至少5条记录，无法唯一定位</w:t>
            </w:r>
          </w:p>
        </w:tc>
      </w:tr>
    </w:tbl>
    <w:p/>
    <w:p>
      <w:r>
        <w:br w:type="page"/>
      </w:r>
    </w:p>
    <w:p>
      <w:pPr>
        <w:pStyle w:val="Heading1"/>
      </w:pPr>
      <w:r>
        <w:rPr>
          <w:color w:val="2C3E50"/>
          <w:sz w:val="40"/>
        </w:rPr>
        <w:t>三、成果展示</w:t>
      </w:r>
    </w:p>
    <w:p>
      <w:pPr>
        <w:pStyle w:val="Heading2"/>
      </w:pPr>
      <w:r>
        <w:rPr>
          <w:color w:val="2980B9"/>
          <w:sz w:val="30"/>
        </w:rPr>
        <w:t>3.1 数据治理成果</w:t>
      </w:r>
    </w:p>
    <w:tbl>
      <w:tblPr>
        <w:tblStyle w:val="LightGrid-Accent1"/>
        <w:tblW w:type="auto" w:w="0"/>
        <w:jc w:val="center"/>
        <w:tblLook w:firstColumn="1" w:firstRow="1" w:lastColumn="0" w:lastRow="0" w:noHBand="0" w:noVBand="1" w:val="04A0"/>
      </w:tblPr>
      <w:tblGrid>
        <w:gridCol w:w="2266"/>
        <w:gridCol w:w="2266"/>
        <w:gridCol w:w="2266"/>
        <w:gridCol w:w="2266"/>
      </w:tblGrid>
      <w:tr>
        <w:tc>
          <w:tcPr>
            <w:tcW w:type="dxa" w:w="2266"/>
          </w:tcPr>
          <w:p>
            <w:r/>
            <w:r>
              <w:rPr>
                <w:b/>
                <w:sz w:val="19"/>
              </w:rPr>
              <w:t>质量指标</w:t>
            </w:r>
          </w:p>
        </w:tc>
        <w:tc>
          <w:tcPr>
            <w:tcW w:type="dxa" w:w="2266"/>
          </w:tcPr>
          <w:p>
            <w:r/>
            <w:r>
              <w:rPr>
                <w:b/>
                <w:sz w:val="19"/>
              </w:rPr>
              <w:t>处理前</w:t>
            </w:r>
          </w:p>
        </w:tc>
        <w:tc>
          <w:tcPr>
            <w:tcW w:type="dxa" w:w="2266"/>
          </w:tcPr>
          <w:p>
            <w:r/>
            <w:r>
              <w:rPr>
                <w:b/>
                <w:sz w:val="19"/>
              </w:rPr>
              <w:t>处理后</w:t>
            </w:r>
          </w:p>
        </w:tc>
        <w:tc>
          <w:tcPr>
            <w:tcW w:type="dxa" w:w="2266"/>
          </w:tcPr>
          <w:p>
            <w:r/>
            <w:r>
              <w:rPr>
                <w:b/>
                <w:sz w:val="19"/>
              </w:rPr>
              <w:t>方法</w:t>
            </w:r>
          </w:p>
        </w:tc>
      </w:tr>
      <w:tr>
        <w:tc>
          <w:tcPr>
            <w:tcW w:type="dxa" w:w="2266"/>
          </w:tcPr>
          <w:p>
            <w:r/>
            <w:r>
              <w:rPr>
                <w:sz w:val="18"/>
              </w:rPr>
              <w:t>缺失率</w:t>
            </w:r>
          </w:p>
        </w:tc>
        <w:tc>
          <w:tcPr>
            <w:tcW w:type="dxa" w:w="2266"/>
          </w:tcPr>
          <w:p>
            <w:r/>
            <w:r>
              <w:rPr>
                <w:sz w:val="18"/>
              </w:rPr>
              <w:t>部分列达100%</w:t>
            </w:r>
          </w:p>
        </w:tc>
        <w:tc>
          <w:tcPr>
            <w:tcW w:type="dxa" w:w="2266"/>
          </w:tcPr>
          <w:p>
            <w:r/>
            <w:r>
              <w:rPr>
                <w:sz w:val="18"/>
              </w:rPr>
              <w:t>0.00%</w:t>
            </w:r>
          </w:p>
        </w:tc>
        <w:tc>
          <w:tcPr>
            <w:tcW w:type="dxa" w:w="2266"/>
          </w:tcPr>
          <w:p>
            <w:r/>
            <w:r>
              <w:rPr>
                <w:sz w:val="18"/>
              </w:rPr>
              <w:t>MICE+KNN+中位数分层插补</w:t>
            </w:r>
          </w:p>
        </w:tc>
      </w:tr>
      <w:tr>
        <w:tc>
          <w:tcPr>
            <w:tcW w:type="dxa" w:w="2266"/>
          </w:tcPr>
          <w:p>
            <w:r/>
            <w:r>
              <w:rPr>
                <w:sz w:val="18"/>
              </w:rPr>
              <w:t>异常值</w:t>
            </w:r>
          </w:p>
        </w:tc>
        <w:tc>
          <w:tcPr>
            <w:tcW w:type="dxa" w:w="2266"/>
          </w:tcPr>
          <w:p>
            <w:r/>
            <w:r>
              <w:rPr>
                <w:sz w:val="18"/>
              </w:rPr>
              <w:t>遍布各数据集</w:t>
            </w:r>
          </w:p>
        </w:tc>
        <w:tc>
          <w:tcPr>
            <w:tcW w:type="dxa" w:w="2266"/>
          </w:tcPr>
          <w:p>
            <w:r/>
            <w:r>
              <w:rPr>
                <w:sz w:val="18"/>
              </w:rPr>
              <w:t>IQR截尾</w:t>
            </w:r>
          </w:p>
        </w:tc>
        <w:tc>
          <w:tcPr>
            <w:tcW w:type="dxa" w:w="2266"/>
          </w:tcPr>
          <w:p>
            <w:r/>
            <w:r>
              <w:rPr>
                <w:sz w:val="18"/>
              </w:rPr>
              <w:t>Winsorize(Q1-1.5IQR~Q3+1.5IQR)</w:t>
            </w:r>
          </w:p>
        </w:tc>
      </w:tr>
      <w:tr>
        <w:tc>
          <w:tcPr>
            <w:tcW w:type="dxa" w:w="2266"/>
          </w:tcPr>
          <w:p>
            <w:r/>
            <w:r>
              <w:rPr>
                <w:sz w:val="18"/>
              </w:rPr>
              <w:t>量纲统一</w:t>
            </w:r>
          </w:p>
        </w:tc>
        <w:tc>
          <w:tcPr>
            <w:tcW w:type="dxa" w:w="2266"/>
          </w:tcPr>
          <w:p>
            <w:r/>
            <w:r>
              <w:rPr>
                <w:sz w:val="18"/>
              </w:rPr>
              <w:t>kg/lb/mmHg/cm混合</w:t>
            </w:r>
          </w:p>
        </w:tc>
        <w:tc>
          <w:tcPr>
            <w:tcW w:type="dxa" w:w="2266"/>
          </w:tcPr>
          <w:p>
            <w:r/>
            <w:r>
              <w:rPr>
                <w:sz w:val="18"/>
              </w:rPr>
              <w:t>Z-Score标准化</w:t>
            </w:r>
          </w:p>
        </w:tc>
        <w:tc>
          <w:tcPr>
            <w:tcW w:type="dxa" w:w="2266"/>
          </w:tcPr>
          <w:p>
            <w:r/>
            <w:r>
              <w:rPr>
                <w:sz w:val="18"/>
              </w:rPr>
              <w:t>StandardScaler (均值=0,标准差=1)</w:t>
            </w:r>
          </w:p>
        </w:tc>
      </w:tr>
      <w:tr>
        <w:tc>
          <w:tcPr>
            <w:tcW w:type="dxa" w:w="2266"/>
          </w:tcPr>
          <w:p>
            <w:r/>
            <w:r>
              <w:rPr>
                <w:sz w:val="18"/>
              </w:rPr>
              <w:t>文件格式</w:t>
            </w:r>
          </w:p>
        </w:tc>
        <w:tc>
          <w:tcPr>
            <w:tcW w:type="dxa" w:w="2266"/>
          </w:tcPr>
          <w:p>
            <w:r/>
            <w:r>
              <w:rPr>
                <w:sz w:val="18"/>
              </w:rPr>
              <w:t>CSV/XPT/JSON</w:t>
            </w:r>
          </w:p>
        </w:tc>
        <w:tc>
          <w:tcPr>
            <w:tcW w:type="dxa" w:w="2266"/>
          </w:tcPr>
          <w:p>
            <w:r/>
            <w:r>
              <w:rPr>
                <w:sz w:val="18"/>
              </w:rPr>
              <w:t>统一Parquet</w:t>
            </w:r>
          </w:p>
        </w:tc>
        <w:tc>
          <w:tcPr>
            <w:tcW w:type="dxa" w:w="2266"/>
          </w:tcPr>
          <w:p>
            <w:r/>
            <w:r>
              <w:rPr>
                <w:sz w:val="18"/>
              </w:rPr>
              <w:t>自动检测分隔符+编码，SAS专用解析器</w:t>
            </w:r>
          </w:p>
        </w:tc>
      </w:tr>
      <w:tr>
        <w:tc>
          <w:tcPr>
            <w:tcW w:type="dxa" w:w="2266"/>
          </w:tcPr>
          <w:p>
            <w:r/>
            <w:r>
              <w:rPr>
                <w:sz w:val="18"/>
              </w:rPr>
              <w:t>标识符</w:t>
            </w:r>
          </w:p>
        </w:tc>
        <w:tc>
          <w:tcPr>
            <w:tcW w:type="dxa" w:w="2266"/>
          </w:tcPr>
          <w:p>
            <w:r/>
            <w:r>
              <w:rPr>
                <w:sz w:val="18"/>
              </w:rPr>
              <w:t>原始ID可见</w:t>
            </w:r>
          </w:p>
        </w:tc>
        <w:tc>
          <w:tcPr>
            <w:tcW w:type="dxa" w:w="2266"/>
          </w:tcPr>
          <w:p>
            <w:r/>
            <w:r>
              <w:rPr>
                <w:sz w:val="18"/>
              </w:rPr>
              <w:t>SHA-256哈希</w:t>
            </w:r>
          </w:p>
        </w:tc>
        <w:tc>
          <w:tcPr>
            <w:tcW w:type="dxa" w:w="2266"/>
          </w:tcPr>
          <w:p>
            <w:r/>
            <w:r>
              <w:rPr>
                <w:sz w:val="18"/>
              </w:rPr>
              <w:t>758+标识列不可逆加密，原始列物理删除</w:t>
            </w:r>
          </w:p>
        </w:tc>
      </w:tr>
    </w:tbl>
    <w:p>
      <w:r>
        <w:rPr>
          <w:b w:val="0"/>
          <w:color w:val="95A5A6"/>
          <w:sz w:val="16"/>
        </w:rPr>
        <w:t>表2: 数据治理前后质量指标对比</w:t>
      </w:r>
    </w:p>
    <w:p/>
    <w:p>
      <w:pPr>
        <w:pStyle w:val="Heading2"/>
      </w:pPr>
      <w:r>
        <w:rPr>
          <w:color w:val="2980B9"/>
          <w:sz w:val="30"/>
        </w:rPr>
        <w:t>3.2 模型评估结果</w:t>
      </w:r>
    </w:p>
    <w:p>
      <w:r>
        <w:rPr>
          <w:b w:val="0"/>
          <w:sz w:val="22"/>
        </w:rPr>
        <w:t>经PCA与原始特征的严格对比实验(相同模型、相同参数、相同随机种子)，确认PCA版AUC=0.998为信息泄露所致。采用BRFSS原始21项特征和Cardiovascular原始13项实测特征重新建模，获得真实可信的评估结果：</w:t>
      </w:r>
    </w:p>
    <w:tbl>
      <w:tblPr>
        <w:tblStyle w:val="LightGrid-Accent1"/>
        <w:tblW w:type="auto" w:w="0"/>
        <w:jc w:val="center"/>
        <w:tblLook w:firstColumn="1" w:firstRow="1" w:lastColumn="0" w:lastRow="0" w:noHBand="0" w:noVBand="1" w:val="04A0"/>
      </w:tblPr>
      <w:tblGrid>
        <w:gridCol w:w="1511"/>
        <w:gridCol w:w="1511"/>
        <w:gridCol w:w="1511"/>
        <w:gridCol w:w="1511"/>
        <w:gridCol w:w="1511"/>
        <w:gridCol w:w="1511"/>
      </w:tblGrid>
      <w:tr>
        <w:tc>
          <w:tcPr>
            <w:tcW w:type="dxa" w:w="1511"/>
          </w:tcPr>
          <w:p>
            <w:r/>
            <w:r>
              <w:rPr>
                <w:b/>
                <w:sz w:val="19"/>
              </w:rPr>
              <w:t>疾病</w:t>
            </w:r>
          </w:p>
        </w:tc>
        <w:tc>
          <w:tcPr>
            <w:tcW w:type="dxa" w:w="1511"/>
          </w:tcPr>
          <w:p>
            <w:r/>
            <w:r>
              <w:rPr>
                <w:b/>
                <w:sz w:val="19"/>
              </w:rPr>
              <w:t>数据集</w:t>
            </w:r>
          </w:p>
        </w:tc>
        <w:tc>
          <w:tcPr>
            <w:tcW w:type="dxa" w:w="1511"/>
          </w:tcPr>
          <w:p>
            <w:r/>
            <w:r>
              <w:rPr>
                <w:b/>
                <w:sz w:val="19"/>
              </w:rPr>
              <w:t>模型</w:t>
            </w:r>
          </w:p>
        </w:tc>
        <w:tc>
          <w:tcPr>
            <w:tcW w:type="dxa" w:w="1511"/>
          </w:tcPr>
          <w:p>
            <w:r/>
            <w:r>
              <w:rPr>
                <w:b/>
                <w:sz w:val="19"/>
              </w:rPr>
              <w:t>AUC-ROC</w:t>
            </w:r>
          </w:p>
        </w:tc>
        <w:tc>
          <w:tcPr>
            <w:tcW w:type="dxa" w:w="1511"/>
          </w:tcPr>
          <w:p>
            <w:r/>
            <w:r>
              <w:rPr>
                <w:b/>
                <w:sz w:val="19"/>
              </w:rPr>
              <w:t>F1</w:t>
            </w:r>
          </w:p>
        </w:tc>
        <w:tc>
          <w:tcPr>
            <w:tcW w:type="dxa" w:w="1511"/>
          </w:tcPr>
          <w:p>
            <w:r/>
            <w:r>
              <w:rPr>
                <w:b/>
                <w:sz w:val="19"/>
              </w:rPr>
              <w:t>样本量</w:t>
            </w:r>
          </w:p>
        </w:tc>
      </w:tr>
      <w:tr>
        <w:tc>
          <w:tcPr>
            <w:tcW w:type="dxa" w:w="1511"/>
          </w:tcPr>
          <w:p>
            <w:r/>
            <w:r>
              <w:rPr>
                <w:sz w:val="18"/>
              </w:rPr>
              <w:t>糖尿病</w:t>
            </w:r>
          </w:p>
        </w:tc>
        <w:tc>
          <w:tcPr>
            <w:tcW w:type="dxa" w:w="1511"/>
          </w:tcPr>
          <w:p>
            <w:r/>
            <w:r>
              <w:rPr>
                <w:sz w:val="18"/>
              </w:rPr>
              <w:t>BRFSS Diabetes</w:t>
            </w:r>
          </w:p>
        </w:tc>
        <w:tc>
          <w:tcPr>
            <w:tcW w:type="dxa" w:w="1511"/>
          </w:tcPr>
          <w:p>
            <w:r/>
            <w:r>
              <w:rPr>
                <w:sz w:val="18"/>
              </w:rPr>
              <w:t>XGBoost</w:t>
            </w:r>
          </w:p>
        </w:tc>
        <w:tc>
          <w:tcPr>
            <w:tcW w:type="dxa" w:w="1511"/>
          </w:tcPr>
          <w:p>
            <w:r/>
            <w:r>
              <w:rPr>
                <w:sz w:val="18"/>
              </w:rPr>
              <w:t>0.828</w:t>
            </w:r>
          </w:p>
        </w:tc>
        <w:tc>
          <w:tcPr>
            <w:tcW w:type="dxa" w:w="1511"/>
          </w:tcPr>
          <w:p>
            <w:r/>
            <w:r>
              <w:rPr>
                <w:sz w:val="18"/>
              </w:rPr>
              <w:t>0.253</w:t>
            </w:r>
          </w:p>
        </w:tc>
        <w:tc>
          <w:tcPr>
            <w:tcW w:type="dxa" w:w="1511"/>
          </w:tcPr>
          <w:p>
            <w:r/>
            <w:r>
              <w:rPr>
                <w:sz w:val="18"/>
              </w:rPr>
              <w:t>253,680</w:t>
            </w:r>
          </w:p>
        </w:tc>
      </w:tr>
      <w:tr>
        <w:tc>
          <w:tcPr>
            <w:tcW w:type="dxa" w:w="1511"/>
          </w:tcPr>
          <w:p>
            <w:r/>
            <w:r>
              <w:rPr>
                <w:sz w:val="18"/>
              </w:rPr>
              <w:t>心脏病</w:t>
            </w:r>
          </w:p>
        </w:tc>
        <w:tc>
          <w:tcPr>
            <w:tcW w:type="dxa" w:w="1511"/>
          </w:tcPr>
          <w:p>
            <w:r/>
            <w:r>
              <w:rPr>
                <w:sz w:val="18"/>
              </w:rPr>
              <w:t>BRFSS Heart Disease</w:t>
            </w:r>
          </w:p>
        </w:tc>
        <w:tc>
          <w:tcPr>
            <w:tcW w:type="dxa" w:w="1511"/>
          </w:tcPr>
          <w:p>
            <w:r/>
            <w:r>
              <w:rPr>
                <w:sz w:val="18"/>
              </w:rPr>
              <w:t>XGBoost</w:t>
            </w:r>
          </w:p>
        </w:tc>
        <w:tc>
          <w:tcPr>
            <w:tcW w:type="dxa" w:w="1511"/>
          </w:tcPr>
          <w:p>
            <w:r/>
            <w:r>
              <w:rPr>
                <w:sz w:val="18"/>
              </w:rPr>
              <w:t>0.851</w:t>
            </w:r>
          </w:p>
        </w:tc>
        <w:tc>
          <w:tcPr>
            <w:tcW w:type="dxa" w:w="1511"/>
          </w:tcPr>
          <w:p>
            <w:r/>
            <w:r>
              <w:rPr>
                <w:sz w:val="18"/>
              </w:rPr>
              <w:t>0.166</w:t>
            </w:r>
          </w:p>
        </w:tc>
        <w:tc>
          <w:tcPr>
            <w:tcW w:type="dxa" w:w="1511"/>
          </w:tcPr>
          <w:p>
            <w:r/>
            <w:r>
              <w:rPr>
                <w:sz w:val="18"/>
              </w:rPr>
              <w:t>253,680</w:t>
            </w:r>
          </w:p>
        </w:tc>
      </w:tr>
      <w:tr>
        <w:tc>
          <w:tcPr>
            <w:tcW w:type="dxa" w:w="1511"/>
          </w:tcPr>
          <w:p>
            <w:r/>
            <w:r>
              <w:rPr>
                <w:sz w:val="18"/>
              </w:rPr>
              <w:t>心血管</w:t>
            </w:r>
          </w:p>
        </w:tc>
        <w:tc>
          <w:tcPr>
            <w:tcW w:type="dxa" w:w="1511"/>
          </w:tcPr>
          <w:p>
            <w:r/>
            <w:r>
              <w:rPr>
                <w:sz w:val="18"/>
              </w:rPr>
              <w:t>Cardiovascular(实测)</w:t>
            </w:r>
          </w:p>
        </w:tc>
        <w:tc>
          <w:tcPr>
            <w:tcW w:type="dxa" w:w="1511"/>
          </w:tcPr>
          <w:p>
            <w:r/>
            <w:r>
              <w:rPr>
                <w:sz w:val="18"/>
              </w:rPr>
              <w:t>LightGBM</w:t>
            </w:r>
          </w:p>
        </w:tc>
        <w:tc>
          <w:tcPr>
            <w:tcW w:type="dxa" w:w="1511"/>
          </w:tcPr>
          <w:p>
            <w:r/>
            <w:r>
              <w:rPr>
                <w:sz w:val="18"/>
              </w:rPr>
              <w:t>0.801</w:t>
            </w:r>
          </w:p>
        </w:tc>
        <w:tc>
          <w:tcPr>
            <w:tcW w:type="dxa" w:w="1511"/>
          </w:tcPr>
          <w:p>
            <w:r/>
            <w:r>
              <w:rPr>
                <w:sz w:val="18"/>
              </w:rPr>
              <w:t>0.724</w:t>
            </w:r>
          </w:p>
        </w:tc>
        <w:tc>
          <w:tcPr>
            <w:tcW w:type="dxa" w:w="1511"/>
          </w:tcPr>
          <w:p>
            <w:r/>
            <w:r>
              <w:rPr>
                <w:sz w:val="18"/>
              </w:rPr>
              <w:t>70,000</w:t>
            </w:r>
          </w:p>
        </w:tc>
      </w:tr>
      <w:tr>
        <w:tc>
          <w:tcPr>
            <w:tcW w:type="dxa" w:w="1511"/>
          </w:tcPr>
          <w:p>
            <w:r/>
            <w:r>
              <w:rPr>
                <w:sz w:val="18"/>
              </w:rPr>
              <w:t>心脏病</w:t>
            </w:r>
          </w:p>
        </w:tc>
        <w:tc>
          <w:tcPr>
            <w:tcW w:type="dxa" w:w="1511"/>
          </w:tcPr>
          <w:p>
            <w:r/>
            <w:r>
              <w:rPr>
                <w:sz w:val="18"/>
              </w:rPr>
              <w:t>Heart UCI</w:t>
            </w:r>
          </w:p>
        </w:tc>
        <w:tc>
          <w:tcPr>
            <w:tcW w:type="dxa" w:w="1511"/>
          </w:tcPr>
          <w:p>
            <w:r/>
            <w:r>
              <w:rPr>
                <w:sz w:val="18"/>
              </w:rPr>
              <w:t>LightGBM</w:t>
            </w:r>
          </w:p>
        </w:tc>
        <w:tc>
          <w:tcPr>
            <w:tcW w:type="dxa" w:w="1511"/>
          </w:tcPr>
          <w:p>
            <w:r/>
            <w:r>
              <w:rPr>
                <w:sz w:val="18"/>
              </w:rPr>
              <w:t>1.000*</w:t>
            </w:r>
          </w:p>
        </w:tc>
        <w:tc>
          <w:tcPr>
            <w:tcW w:type="dxa" w:w="1511"/>
          </w:tcPr>
          <w:p>
            <w:r/>
            <w:r>
              <w:rPr>
                <w:sz w:val="18"/>
              </w:rPr>
              <w:t>1.000*</w:t>
            </w:r>
          </w:p>
        </w:tc>
        <w:tc>
          <w:tcPr>
            <w:tcW w:type="dxa" w:w="1511"/>
          </w:tcPr>
          <w:p>
            <w:r/>
            <w:r>
              <w:rPr>
                <w:sz w:val="18"/>
              </w:rPr>
              <w:t>1,025</w:t>
            </w:r>
          </w:p>
        </w:tc>
      </w:tr>
    </w:tbl>
    <w:p>
      <w:r>
        <w:rPr>
          <w:b w:val="0"/>
          <w:color w:val="95A5A6"/>
          <w:sz w:val="16"/>
        </w:rPr>
        <w:t>表3: 慢性病风险评估模型性能 (*Heart UCI仅1025样本，可能过拟合)</w:t>
      </w:r>
    </w:p>
    <w:p/>
    <w:p>
      <w:r>
        <w:rPr>
          <w:b w:val="0"/>
          <w:sz w:val="22"/>
        </w:rPr>
        <w:t>心脏病预测(AUC=0.851)为最佳模型，超过指南要求的0.85目标。心血管模型因数据均衡(患病50%)而F1最高(0.724)。</w:t>
      </w:r>
    </w:p>
    <w:p>
      <w:pPr>
        <w:pStyle w:val="Heading2"/>
      </w:pPr>
      <w:r>
        <w:rPr>
          <w:color w:val="2980B9"/>
          <w:sz w:val="30"/>
        </w:rPr>
        <w:t>3.3 SHAP可解释性分析</w:t>
      </w:r>
    </w:p>
    <w:tbl>
      <w:tblPr>
        <w:tblStyle w:val="LightGrid-Accent1"/>
        <w:tblW w:type="auto" w:w="0"/>
        <w:jc w:val="center"/>
        <w:tblLook w:firstColumn="1" w:firstRow="1" w:lastColumn="0" w:lastRow="0" w:noHBand="0" w:noVBand="1" w:val="04A0"/>
      </w:tblPr>
      <w:tblGrid>
        <w:gridCol w:w="1295"/>
        <w:gridCol w:w="1295"/>
        <w:gridCol w:w="1295"/>
        <w:gridCol w:w="1295"/>
        <w:gridCol w:w="1295"/>
        <w:gridCol w:w="1295"/>
        <w:gridCol w:w="1295"/>
      </w:tblGrid>
      <w:tr>
        <w:tc>
          <w:tcPr>
            <w:tcW w:type="dxa" w:w="1295"/>
          </w:tcPr>
          <w:p>
            <w:r/>
            <w:r>
              <w:rPr>
                <w:b/>
                <w:sz w:val="19"/>
              </w:rPr>
              <w:t>排名</w:t>
            </w:r>
          </w:p>
        </w:tc>
        <w:tc>
          <w:tcPr>
            <w:tcW w:type="dxa" w:w="1295"/>
          </w:tcPr>
          <w:p>
            <w:r/>
            <w:r>
              <w:rPr>
                <w:b/>
                <w:sz w:val="19"/>
              </w:rPr>
              <w:t>糖尿病(BRFSS)</w:t>
            </w:r>
          </w:p>
        </w:tc>
        <w:tc>
          <w:tcPr>
            <w:tcW w:type="dxa" w:w="1295"/>
          </w:tcPr>
          <w:p>
            <w:r/>
            <w:r>
              <w:rPr>
                <w:b/>
                <w:sz w:val="19"/>
              </w:rPr>
              <w:t>SHAP</w:t>
            </w:r>
          </w:p>
        </w:tc>
        <w:tc>
          <w:tcPr>
            <w:tcW w:type="dxa" w:w="1295"/>
          </w:tcPr>
          <w:p>
            <w:r/>
            <w:r>
              <w:rPr>
                <w:b/>
                <w:sz w:val="19"/>
              </w:rPr>
              <w:t>心脏病(BRFSS)</w:t>
            </w:r>
          </w:p>
        </w:tc>
        <w:tc>
          <w:tcPr>
            <w:tcW w:type="dxa" w:w="1295"/>
          </w:tcPr>
          <w:p>
            <w:r/>
            <w:r>
              <w:rPr>
                <w:b/>
                <w:sz w:val="19"/>
              </w:rPr>
              <w:t>SHAP</w:t>
            </w:r>
          </w:p>
        </w:tc>
        <w:tc>
          <w:tcPr>
            <w:tcW w:type="dxa" w:w="1295"/>
          </w:tcPr>
          <w:p>
            <w:r/>
            <w:r>
              <w:rPr>
                <w:b/>
                <w:sz w:val="19"/>
              </w:rPr>
              <w:t>心血管(实测)</w:t>
            </w:r>
          </w:p>
        </w:tc>
        <w:tc>
          <w:tcPr>
            <w:tcW w:type="dxa" w:w="1295"/>
          </w:tcPr>
          <w:p>
            <w:r/>
            <w:r>
              <w:rPr>
                <w:b/>
                <w:sz w:val="19"/>
              </w:rPr>
              <w:t>SHAP</w:t>
            </w:r>
          </w:p>
        </w:tc>
      </w:tr>
      <w:tr>
        <w:tc>
          <w:tcPr>
            <w:tcW w:type="dxa" w:w="1295"/>
          </w:tcPr>
          <w:p>
            <w:r/>
            <w:r>
              <w:rPr>
                <w:sz w:val="18"/>
              </w:rPr>
              <w:t>#1</w:t>
            </w:r>
          </w:p>
        </w:tc>
        <w:tc>
          <w:tcPr>
            <w:tcW w:type="dxa" w:w="1295"/>
          </w:tcPr>
          <w:p>
            <w:r/>
            <w:r>
              <w:rPr>
                <w:sz w:val="18"/>
              </w:rPr>
              <w:t>GenHlth整体健康</w:t>
            </w:r>
          </w:p>
        </w:tc>
        <w:tc>
          <w:tcPr>
            <w:tcW w:type="dxa" w:w="1295"/>
          </w:tcPr>
          <w:p>
            <w:r/>
            <w:r>
              <w:rPr>
                <w:sz w:val="18"/>
              </w:rPr>
              <w:t>0.632</w:t>
            </w:r>
          </w:p>
        </w:tc>
        <w:tc>
          <w:tcPr>
            <w:tcW w:type="dxa" w:w="1295"/>
          </w:tcPr>
          <w:p>
            <w:r/>
            <w:r>
              <w:rPr>
                <w:sz w:val="18"/>
              </w:rPr>
              <w:t>Age年龄</w:t>
            </w:r>
          </w:p>
        </w:tc>
        <w:tc>
          <w:tcPr>
            <w:tcW w:type="dxa" w:w="1295"/>
          </w:tcPr>
          <w:p>
            <w:r/>
            <w:r>
              <w:rPr>
                <w:sz w:val="18"/>
              </w:rPr>
              <w:t>0.710</w:t>
            </w:r>
          </w:p>
        </w:tc>
        <w:tc>
          <w:tcPr>
            <w:tcW w:type="dxa" w:w="1295"/>
          </w:tcPr>
          <w:p>
            <w:r/>
            <w:r>
              <w:rPr>
                <w:sz w:val="18"/>
              </w:rPr>
              <w:t>ap_hi收缩压!</w:t>
            </w:r>
          </w:p>
        </w:tc>
        <w:tc>
          <w:tcPr>
            <w:tcW w:type="dxa" w:w="1295"/>
          </w:tcPr>
          <w:p>
            <w:r/>
            <w:r>
              <w:rPr>
                <w:sz w:val="18"/>
              </w:rPr>
              <w:t>0.868</w:t>
            </w:r>
          </w:p>
        </w:tc>
      </w:tr>
      <w:tr>
        <w:tc>
          <w:tcPr>
            <w:tcW w:type="dxa" w:w="1295"/>
          </w:tcPr>
          <w:p>
            <w:r/>
            <w:r>
              <w:rPr>
                <w:sz w:val="18"/>
              </w:rPr>
              <w:t>#2</w:t>
            </w:r>
          </w:p>
        </w:tc>
        <w:tc>
          <w:tcPr>
            <w:tcW w:type="dxa" w:w="1295"/>
          </w:tcPr>
          <w:p>
            <w:r/>
            <w:r>
              <w:rPr>
                <w:sz w:val="18"/>
              </w:rPr>
              <w:t>HighBP高血压</w:t>
            </w:r>
          </w:p>
        </w:tc>
        <w:tc>
          <w:tcPr>
            <w:tcW w:type="dxa" w:w="1295"/>
          </w:tcPr>
          <w:p>
            <w:r/>
            <w:r>
              <w:rPr>
                <w:sz w:val="18"/>
              </w:rPr>
              <w:t>0.462</w:t>
            </w:r>
          </w:p>
        </w:tc>
        <w:tc>
          <w:tcPr>
            <w:tcW w:type="dxa" w:w="1295"/>
          </w:tcPr>
          <w:p>
            <w:r/>
            <w:r>
              <w:rPr>
                <w:sz w:val="18"/>
              </w:rPr>
              <w:t>GenHlth整体健康</w:t>
            </w:r>
          </w:p>
        </w:tc>
        <w:tc>
          <w:tcPr>
            <w:tcW w:type="dxa" w:w="1295"/>
          </w:tcPr>
          <w:p>
            <w:r/>
            <w:r>
              <w:rPr>
                <w:sz w:val="18"/>
              </w:rPr>
              <w:t>0.479</w:t>
            </w:r>
          </w:p>
        </w:tc>
        <w:tc>
          <w:tcPr>
            <w:tcW w:type="dxa" w:w="1295"/>
          </w:tcPr>
          <w:p>
            <w:r/>
            <w:r>
              <w:rPr>
                <w:sz w:val="18"/>
              </w:rPr>
              <w:t>age年龄</w:t>
            </w:r>
          </w:p>
        </w:tc>
        <w:tc>
          <w:tcPr>
            <w:tcW w:type="dxa" w:w="1295"/>
          </w:tcPr>
          <w:p>
            <w:r/>
            <w:r>
              <w:rPr>
                <w:sz w:val="18"/>
              </w:rPr>
              <w:t>0.281</w:t>
            </w:r>
          </w:p>
        </w:tc>
      </w:tr>
      <w:tr>
        <w:tc>
          <w:tcPr>
            <w:tcW w:type="dxa" w:w="1295"/>
          </w:tcPr>
          <w:p>
            <w:r/>
            <w:r>
              <w:rPr>
                <w:sz w:val="18"/>
              </w:rPr>
              <w:t>#3</w:t>
            </w:r>
          </w:p>
        </w:tc>
        <w:tc>
          <w:tcPr>
            <w:tcW w:type="dxa" w:w="1295"/>
          </w:tcPr>
          <w:p>
            <w:r/>
            <w:r>
              <w:rPr>
                <w:sz w:val="18"/>
              </w:rPr>
              <w:t>BMI体重指数</w:t>
            </w:r>
          </w:p>
        </w:tc>
        <w:tc>
          <w:tcPr>
            <w:tcW w:type="dxa" w:w="1295"/>
          </w:tcPr>
          <w:p>
            <w:r/>
            <w:r>
              <w:rPr>
                <w:sz w:val="18"/>
              </w:rPr>
              <w:t>0.404</w:t>
            </w:r>
          </w:p>
        </w:tc>
        <w:tc>
          <w:tcPr>
            <w:tcW w:type="dxa" w:w="1295"/>
          </w:tcPr>
          <w:p>
            <w:r/>
            <w:r>
              <w:rPr>
                <w:sz w:val="18"/>
              </w:rPr>
              <w:t>HighBP高血压</w:t>
            </w:r>
          </w:p>
        </w:tc>
        <w:tc>
          <w:tcPr>
            <w:tcW w:type="dxa" w:w="1295"/>
          </w:tcPr>
          <w:p>
            <w:r/>
            <w:r>
              <w:rPr>
                <w:sz w:val="18"/>
              </w:rPr>
              <w:t>0.350</w:t>
            </w:r>
          </w:p>
        </w:tc>
        <w:tc>
          <w:tcPr>
            <w:tcW w:type="dxa" w:w="1295"/>
          </w:tcPr>
          <w:p>
            <w:r/>
            <w:r>
              <w:rPr>
                <w:sz w:val="18"/>
              </w:rPr>
              <w:t>cholesterol胆固醇</w:t>
            </w:r>
          </w:p>
        </w:tc>
        <w:tc>
          <w:tcPr>
            <w:tcW w:type="dxa" w:w="1295"/>
          </w:tcPr>
          <w:p>
            <w:r/>
            <w:r>
              <w:rPr>
                <w:sz w:val="18"/>
              </w:rPr>
              <w:t>0.207</w:t>
            </w:r>
          </w:p>
        </w:tc>
      </w:tr>
      <w:tr>
        <w:tc>
          <w:tcPr>
            <w:tcW w:type="dxa" w:w="1295"/>
          </w:tcPr>
          <w:p>
            <w:r/>
            <w:r>
              <w:rPr>
                <w:sz w:val="18"/>
              </w:rPr>
              <w:t>#4</w:t>
            </w:r>
          </w:p>
        </w:tc>
        <w:tc>
          <w:tcPr>
            <w:tcW w:type="dxa" w:w="1295"/>
          </w:tcPr>
          <w:p>
            <w:r/>
            <w:r>
              <w:rPr>
                <w:sz w:val="18"/>
              </w:rPr>
              <w:t>Age年龄</w:t>
            </w:r>
          </w:p>
        </w:tc>
        <w:tc>
          <w:tcPr>
            <w:tcW w:type="dxa" w:w="1295"/>
          </w:tcPr>
          <w:p>
            <w:r/>
            <w:r>
              <w:rPr>
                <w:sz w:val="18"/>
              </w:rPr>
              <w:t>0.392</w:t>
            </w:r>
          </w:p>
        </w:tc>
        <w:tc>
          <w:tcPr>
            <w:tcW w:type="dxa" w:w="1295"/>
          </w:tcPr>
          <w:p>
            <w:r/>
            <w:r>
              <w:rPr>
                <w:sz w:val="18"/>
              </w:rPr>
              <w:t>Sex性别</w:t>
            </w:r>
          </w:p>
        </w:tc>
        <w:tc>
          <w:tcPr>
            <w:tcW w:type="dxa" w:w="1295"/>
          </w:tcPr>
          <w:p>
            <w:r/>
            <w:r>
              <w:rPr>
                <w:sz w:val="18"/>
              </w:rPr>
              <w:t>0.328</w:t>
            </w:r>
          </w:p>
        </w:tc>
        <w:tc>
          <w:tcPr>
            <w:tcW w:type="dxa" w:w="1295"/>
          </w:tcPr>
          <w:p>
            <w:r/>
            <w:r>
              <w:rPr>
                <w:sz w:val="18"/>
              </w:rPr>
              <w:t>ap_lo舒张压</w:t>
            </w:r>
          </w:p>
        </w:tc>
        <w:tc>
          <w:tcPr>
            <w:tcW w:type="dxa" w:w="1295"/>
          </w:tcPr>
          <w:p>
            <w:r/>
            <w:r>
              <w:rPr>
                <w:sz w:val="18"/>
              </w:rPr>
              <w:t>0.107</w:t>
            </w:r>
          </w:p>
        </w:tc>
      </w:tr>
      <w:tr>
        <w:tc>
          <w:tcPr>
            <w:tcW w:type="dxa" w:w="1295"/>
          </w:tcPr>
          <w:p>
            <w:r/>
            <w:r>
              <w:rPr>
                <w:sz w:val="18"/>
              </w:rPr>
              <w:t>#5</w:t>
            </w:r>
          </w:p>
        </w:tc>
        <w:tc>
          <w:tcPr>
            <w:tcW w:type="dxa" w:w="1295"/>
          </w:tcPr>
          <w:p>
            <w:r/>
            <w:r>
              <w:rPr>
                <w:sz w:val="18"/>
              </w:rPr>
              <w:t>HighChol高胆固醇</w:t>
            </w:r>
          </w:p>
        </w:tc>
        <w:tc>
          <w:tcPr>
            <w:tcW w:type="dxa" w:w="1295"/>
          </w:tcPr>
          <w:p>
            <w:r/>
            <w:r>
              <w:rPr>
                <w:sz w:val="18"/>
              </w:rPr>
              <w:t>0.275</w:t>
            </w:r>
          </w:p>
        </w:tc>
        <w:tc>
          <w:tcPr>
            <w:tcW w:type="dxa" w:w="1295"/>
          </w:tcPr>
          <w:p>
            <w:r/>
            <w:r>
              <w:rPr>
                <w:sz w:val="18"/>
              </w:rPr>
              <w:t>HighChol高胆固醇</w:t>
            </w:r>
          </w:p>
        </w:tc>
        <w:tc>
          <w:tcPr>
            <w:tcW w:type="dxa" w:w="1295"/>
          </w:tcPr>
          <w:p>
            <w:r/>
            <w:r>
              <w:rPr>
                <w:sz w:val="18"/>
              </w:rPr>
              <w:t>0.299</w:t>
            </w:r>
          </w:p>
        </w:tc>
        <w:tc>
          <w:tcPr>
            <w:tcW w:type="dxa" w:w="1295"/>
          </w:tcPr>
          <w:p>
            <w:r/>
            <w:r>
              <w:rPr>
                <w:sz w:val="18"/>
              </w:rPr>
              <w:t>bmi体重指数</w:t>
            </w:r>
          </w:p>
        </w:tc>
        <w:tc>
          <w:tcPr>
            <w:tcW w:type="dxa" w:w="1295"/>
          </w:tcPr>
          <w:p>
            <w:r/>
            <w:r>
              <w:rPr>
                <w:sz w:val="18"/>
              </w:rPr>
              <w:t>0.067</w:t>
            </w:r>
          </w:p>
        </w:tc>
      </w:tr>
    </w:tbl>
    <w:p>
      <w:r>
        <w:rPr>
          <w:b w:val="0"/>
          <w:color w:val="95A5A6"/>
          <w:sz w:val="16"/>
        </w:rPr>
        <w:t>表4: SHAP特征重要性Top-5 (原始特征，完全可读)</w:t>
      </w:r>
    </w:p>
    <w:p/>
    <w:p>
      <w:r>
        <w:rPr>
          <w:b w:val="0"/>
          <w:sz w:val="22"/>
        </w:rPr>
        <w:t>核心发现: 收缩压(ap_hi)是心血管病最强大的预测因子(SHAP=0.868)，远超年龄(0.281)的三倍。这与Framingham心脏研究(Circulation,2008)的经典结论一致——收缩压每升高20mmHg，心血管病死亡风险翻倍。SHAP用数据驱动的方式独立验证了半个世纪的临床流行病学成果。</w:t>
      </w:r>
    </w:p>
    <w:p>
      <w:r>
        <w:rPr>
          <w:b w:val="0"/>
          <w:sz w:val="22"/>
        </w:rPr>
        <w:t>V1(PCA)SHAP对比: PC9=2.27(无人能解释) vs V2原始特征SHAP: GenHlth=0.632(任何医生都能理解)。这一对比有力证明可解释性对医疗AI临床落地的必要性。</w:t>
      </w:r>
    </w:p>
    <w:p>
      <w:pPr>
        <w:pStyle w:val="Heading2"/>
      </w:pPr>
      <w:r>
        <w:rPr>
          <w:color w:val="2980B9"/>
          <w:sz w:val="30"/>
        </w:rPr>
        <w:t>3.4 趋势预测与异常预警</w:t>
      </w:r>
    </w:p>
    <w:tbl>
      <w:tblPr>
        <w:tblStyle w:val="LightGrid-Accent1"/>
        <w:tblW w:type="auto" w:w="0"/>
        <w:jc w:val="center"/>
        <w:tblLook w:firstColumn="1" w:firstRow="1" w:lastColumn="0" w:lastRow="0" w:noHBand="0" w:noVBand="1" w:val="04A0"/>
      </w:tblPr>
      <w:tblGrid>
        <w:gridCol w:w="3022"/>
        <w:gridCol w:w="3022"/>
        <w:gridCol w:w="3022"/>
      </w:tblGrid>
      <w:tr>
        <w:tc>
          <w:tcPr>
            <w:tcW w:type="dxa" w:w="3022"/>
          </w:tcPr>
          <w:p>
            <w:r/>
            <w:r>
              <w:rPr>
                <w:b/>
                <w:sz w:val="19"/>
              </w:rPr>
              <w:t>模块</w:t>
            </w:r>
          </w:p>
        </w:tc>
        <w:tc>
          <w:tcPr>
            <w:tcW w:type="dxa" w:w="3022"/>
          </w:tcPr>
          <w:p>
            <w:r/>
            <w:r>
              <w:rPr>
                <w:b/>
                <w:sz w:val="19"/>
              </w:rPr>
              <w:t>方法</w:t>
            </w:r>
          </w:p>
        </w:tc>
        <w:tc>
          <w:tcPr>
            <w:tcW w:type="dxa" w:w="3022"/>
          </w:tcPr>
          <w:p>
            <w:r/>
            <w:r>
              <w:rPr>
                <w:b/>
                <w:sz w:val="19"/>
              </w:rPr>
              <w:t>结果</w:t>
            </w:r>
          </w:p>
        </w:tc>
      </w:tr>
      <w:tr>
        <w:tc>
          <w:tcPr>
            <w:tcW w:type="dxa" w:w="3022"/>
          </w:tcPr>
          <w:p>
            <w:r/>
            <w:r>
              <w:rPr>
                <w:sz w:val="18"/>
              </w:rPr>
              <w:t>趋势预测</w:t>
            </w:r>
          </w:p>
        </w:tc>
        <w:tc>
          <w:tcPr>
            <w:tcW w:type="dxa" w:w="3022"/>
          </w:tcPr>
          <w:p>
            <w:r/>
            <w:r>
              <w:rPr>
                <w:sz w:val="18"/>
              </w:rPr>
              <w:t>12月MA平滑+线性外推</w:t>
            </w:r>
          </w:p>
        </w:tc>
        <w:tc>
          <w:tcPr>
            <w:tcW w:type="dxa" w:w="3022"/>
          </w:tcPr>
          <w:p>
            <w:r/>
            <w:r>
              <w:rPr>
                <w:sz w:val="18"/>
              </w:rPr>
              <w:t>斜率~680万例/月，12月预测，含95%CI</w:t>
            </w:r>
          </w:p>
        </w:tc>
      </w:tr>
      <w:tr>
        <w:tc>
          <w:tcPr>
            <w:tcW w:type="dxa" w:w="3022"/>
          </w:tcPr>
          <w:p>
            <w:r/>
            <w:r>
              <w:rPr>
                <w:sz w:val="18"/>
              </w:rPr>
              <w:t>异常检测</w:t>
            </w:r>
          </w:p>
        </w:tc>
        <w:tc>
          <w:tcPr>
            <w:tcW w:type="dxa" w:w="3022"/>
          </w:tcPr>
          <w:p>
            <w:r/>
            <w:r>
              <w:rPr>
                <w:sz w:val="18"/>
              </w:rPr>
              <w:t>CUSUM累积和(3sigma)</w:t>
            </w:r>
          </w:p>
        </w:tc>
        <w:tc>
          <w:tcPr>
            <w:tcW w:type="dxa" w:w="3022"/>
          </w:tcPr>
          <w:p>
            <w:r/>
            <w:r>
              <w:rPr>
                <w:sz w:val="18"/>
              </w:rPr>
              <w:t>10,507异常点，2022末-2023初关键异常</w:t>
            </w:r>
          </w:p>
        </w:tc>
      </w:tr>
      <w:tr>
        <w:tc>
          <w:tcPr>
            <w:tcW w:type="dxa" w:w="3022"/>
          </w:tcPr>
          <w:p>
            <w:r/>
            <w:r>
              <w:rPr>
                <w:sz w:val="18"/>
              </w:rPr>
              <w:t>趋势分解</w:t>
            </w:r>
          </w:p>
        </w:tc>
        <w:tc>
          <w:tcPr>
            <w:tcW w:type="dxa" w:w="3022"/>
          </w:tcPr>
          <w:p>
            <w:r/>
            <w:r>
              <w:rPr>
                <w:sz w:val="18"/>
              </w:rPr>
              <w:t>原始=趋势+季节+残差</w:t>
            </w:r>
          </w:p>
        </w:tc>
        <w:tc>
          <w:tcPr>
            <w:tcW w:type="dxa" w:w="3022"/>
          </w:tcPr>
          <w:p>
            <w:r/>
            <w:r>
              <w:rPr>
                <w:sz w:val="18"/>
              </w:rPr>
              <w:t>冬季高/夏季低，呼吸道传染病典型模式</w:t>
            </w:r>
          </w:p>
        </w:tc>
      </w:tr>
    </w:tbl>
    <w:p>
      <w:r>
        <w:rPr>
          <w:b w:val="0"/>
          <w:color w:val="95A5A6"/>
          <w:sz w:val="16"/>
        </w:rPr>
        <w:t>表5: 中国COVID-19时序分析(11,630天)</w:t>
      </w:r>
    </w:p>
    <w:p/>
    <w:p>
      <w:pPr>
        <w:pStyle w:val="Heading2"/>
      </w:pPr>
      <w:r>
        <w:rPr>
          <w:color w:val="2980B9"/>
          <w:sz w:val="30"/>
        </w:rPr>
        <w:t>3.5 可视化决策面板</w:t>
      </w:r>
    </w:p>
    <w:p>
      <w:r>
        <w:rPr>
          <w:b w:val="0"/>
          <w:sz w:val="22"/>
        </w:rPr>
        <w:t>双版本: (1)Dash+Plotly Python Web应用 (2)独立HTML单文件(17KB,零依赖,浏览器直开,可部署至GitHub Pages/Netlify)。</w:t>
      </w:r>
    </w:p>
    <w:tbl>
      <w:tblPr>
        <w:tblStyle w:val="LightGrid-Accent1"/>
        <w:tblW w:type="auto" w:w="0"/>
        <w:jc w:val="center"/>
        <w:tblLook w:firstColumn="1" w:firstRow="1" w:lastColumn="0" w:lastRow="0" w:noHBand="0" w:noVBand="1" w:val="04A0"/>
      </w:tblPr>
      <w:tblGrid>
        <w:gridCol w:w="2266"/>
        <w:gridCol w:w="2266"/>
        <w:gridCol w:w="2266"/>
        <w:gridCol w:w="2266"/>
      </w:tblGrid>
      <w:tr>
        <w:tc>
          <w:tcPr>
            <w:tcW w:type="dxa" w:w="2266"/>
          </w:tcPr>
          <w:p>
            <w:r/>
            <w:r>
              <w:rPr>
                <w:b/>
                <w:sz w:val="19"/>
              </w:rPr>
              <w:t>标签页</w:t>
            </w:r>
          </w:p>
        </w:tc>
        <w:tc>
          <w:tcPr>
            <w:tcW w:type="dxa" w:w="2266"/>
          </w:tcPr>
          <w:p>
            <w:r/>
            <w:r>
              <w:rPr>
                <w:b/>
                <w:sz w:val="19"/>
              </w:rPr>
              <w:t>内容</w:t>
            </w:r>
          </w:p>
        </w:tc>
        <w:tc>
          <w:tcPr>
            <w:tcW w:type="dxa" w:w="2266"/>
          </w:tcPr>
          <w:p>
            <w:r/>
            <w:r>
              <w:rPr>
                <w:b/>
                <w:sz w:val="19"/>
              </w:rPr>
              <w:t>数据来源</w:t>
            </w:r>
          </w:p>
        </w:tc>
        <w:tc>
          <w:tcPr>
            <w:tcW w:type="dxa" w:w="2266"/>
          </w:tcPr>
          <w:p>
            <w:r/>
            <w:r>
              <w:rPr>
                <w:b/>
                <w:sz w:val="19"/>
              </w:rPr>
              <w:t>交互</w:t>
            </w:r>
          </w:p>
        </w:tc>
      </w:tr>
      <w:tr>
        <w:tc>
          <w:tcPr>
            <w:tcW w:type="dxa" w:w="2266"/>
          </w:tcPr>
          <w:p>
            <w:r/>
            <w:r>
              <w:rPr>
                <w:sz w:val="18"/>
              </w:rPr>
              <w:t>模型性能</w:t>
            </w:r>
          </w:p>
        </w:tc>
        <w:tc>
          <w:tcPr>
            <w:tcW w:type="dxa" w:w="2266"/>
          </w:tcPr>
          <w:p>
            <w:r/>
            <w:r>
              <w:rPr>
                <w:sz w:val="18"/>
              </w:rPr>
              <w:t>AUC/F1柱状图+评估表</w:t>
            </w:r>
          </w:p>
        </w:tc>
        <w:tc>
          <w:tcPr>
            <w:tcW w:type="dxa" w:w="2266"/>
          </w:tcPr>
          <w:p>
            <w:r/>
            <w:r>
              <w:rPr>
                <w:sz w:val="18"/>
              </w:rPr>
              <w:t>V2建模</w:t>
            </w:r>
          </w:p>
        </w:tc>
        <w:tc>
          <w:tcPr>
            <w:tcW w:type="dxa" w:w="2266"/>
          </w:tcPr>
          <w:p>
            <w:r/>
            <w:r>
              <w:rPr>
                <w:sz w:val="18"/>
              </w:rPr>
              <w:t>自动刷新</w:t>
            </w:r>
          </w:p>
        </w:tc>
      </w:tr>
      <w:tr>
        <w:tc>
          <w:tcPr>
            <w:tcW w:type="dxa" w:w="2266"/>
          </w:tcPr>
          <w:p>
            <w:r/>
            <w:r>
              <w:rPr>
                <w:sz w:val="18"/>
              </w:rPr>
              <w:t>风险因素</w:t>
            </w:r>
          </w:p>
        </w:tc>
        <w:tc>
          <w:tcPr>
            <w:tcW w:type="dxa" w:w="2266"/>
          </w:tcPr>
          <w:p>
            <w:r/>
            <w:r>
              <w:rPr>
                <w:sz w:val="18"/>
              </w:rPr>
              <w:t>SHAP特征重要性+仪表盘</w:t>
            </w:r>
          </w:p>
        </w:tc>
        <w:tc>
          <w:tcPr>
            <w:tcW w:type="dxa" w:w="2266"/>
          </w:tcPr>
          <w:p>
            <w:r/>
            <w:r>
              <w:rPr>
                <w:sz w:val="18"/>
              </w:rPr>
              <w:t>SHAP分析</w:t>
            </w:r>
          </w:p>
        </w:tc>
        <w:tc>
          <w:tcPr>
            <w:tcW w:type="dxa" w:w="2266"/>
          </w:tcPr>
          <w:p>
            <w:r/>
            <w:r>
              <w:rPr>
                <w:sz w:val="18"/>
              </w:rPr>
              <w:t>下拉切换疾病模型</w:t>
            </w:r>
          </w:p>
        </w:tc>
      </w:tr>
      <w:tr>
        <w:tc>
          <w:tcPr>
            <w:tcW w:type="dxa" w:w="2266"/>
          </w:tcPr>
          <w:p>
            <w:r/>
            <w:r>
              <w:rPr>
                <w:sz w:val="18"/>
              </w:rPr>
              <w:t>趋势预测</w:t>
            </w:r>
          </w:p>
        </w:tc>
        <w:tc>
          <w:tcPr>
            <w:tcW w:type="dxa" w:w="2266"/>
          </w:tcPr>
          <w:p>
            <w:r/>
            <w:r>
              <w:rPr>
                <w:sz w:val="18"/>
              </w:rPr>
              <w:t>趋势曲线+95%CI+分解</w:t>
            </w:r>
          </w:p>
        </w:tc>
        <w:tc>
          <w:tcPr>
            <w:tcW w:type="dxa" w:w="2266"/>
          </w:tcPr>
          <w:p>
            <w:r/>
            <w:r>
              <w:rPr>
                <w:sz w:val="18"/>
              </w:rPr>
              <w:t>OWID中国COVID</w:t>
            </w:r>
          </w:p>
        </w:tc>
        <w:tc>
          <w:tcPr>
            <w:tcW w:type="dxa" w:w="2266"/>
          </w:tcPr>
          <w:p>
            <w:r/>
            <w:r>
              <w:rPr>
                <w:sz w:val="18"/>
              </w:rPr>
              <w:t>区域+天数滑块</w:t>
            </w:r>
          </w:p>
        </w:tc>
      </w:tr>
      <w:tr>
        <w:tc>
          <w:tcPr>
            <w:tcW w:type="dxa" w:w="2266"/>
          </w:tcPr>
          <w:p>
            <w:r/>
            <w:r>
              <w:rPr>
                <w:sz w:val="18"/>
              </w:rPr>
              <w:t>安徽区域</w:t>
            </w:r>
          </w:p>
        </w:tc>
        <w:tc>
          <w:tcPr>
            <w:tcW w:type="dxa" w:w="2266"/>
          </w:tcPr>
          <w:p>
            <w:r/>
            <w:r>
              <w:rPr>
                <w:sz w:val="18"/>
              </w:rPr>
              <w:t>CHARLS数据+28省风险图</w:t>
            </w:r>
          </w:p>
        </w:tc>
        <w:tc>
          <w:tcPr>
            <w:tcW w:type="dxa" w:w="2266"/>
          </w:tcPr>
          <w:p>
            <w:r/>
            <w:r>
              <w:rPr>
                <w:sz w:val="18"/>
              </w:rPr>
              <w:t>CHARLS 2020</w:t>
            </w:r>
          </w:p>
        </w:tc>
        <w:tc>
          <w:tcPr>
            <w:tcW w:type="dxa" w:w="2266"/>
          </w:tcPr>
          <w:p>
            <w:r/>
            <w:r>
              <w:rPr>
                <w:sz w:val="18"/>
              </w:rPr>
              <w:t>自动展示</w:t>
            </w:r>
          </w:p>
        </w:tc>
      </w:tr>
      <w:tr>
        <w:tc>
          <w:tcPr>
            <w:tcW w:type="dxa" w:w="2266"/>
          </w:tcPr>
          <w:p>
            <w:r/>
            <w:r>
              <w:rPr>
                <w:sz w:val="18"/>
              </w:rPr>
              <w:t>资源评估</w:t>
            </w:r>
          </w:p>
        </w:tc>
        <w:tc>
          <w:tcPr>
            <w:tcW w:type="dxa" w:w="2266"/>
          </w:tcPr>
          <w:p>
            <w:r/>
            <w:r>
              <w:rPr>
                <w:sz w:val="18"/>
              </w:rPr>
              <w:t>M/M/c利用率+饼图</w:t>
            </w:r>
          </w:p>
        </w:tc>
        <w:tc>
          <w:tcPr>
            <w:tcW w:type="dxa" w:w="2266"/>
          </w:tcPr>
          <w:p>
            <w:r/>
            <w:r>
              <w:rPr>
                <w:sz w:val="18"/>
              </w:rPr>
              <w:t>排队论</w:t>
            </w:r>
          </w:p>
        </w:tc>
        <w:tc>
          <w:tcPr>
            <w:tcW w:type="dxa" w:w="2266"/>
          </w:tcPr>
          <w:p>
            <w:r/>
            <w:r>
              <w:rPr>
                <w:sz w:val="18"/>
              </w:rPr>
              <w:t>自动展示</w:t>
            </w:r>
          </w:p>
        </w:tc>
      </w:tr>
    </w:tbl>
    <w:p>
      <w:r>
        <w:rPr>
          <w:b w:val="0"/>
          <w:color w:val="95A5A6"/>
          <w:sz w:val="16"/>
        </w:rPr>
        <w:t>表6: 交互式可视化面板功能矩阵</w:t>
      </w:r>
    </w:p>
    <w:p/>
    <w:p>
      <w:pPr>
        <w:pStyle w:val="Heading2"/>
      </w:pPr>
      <w:r>
        <w:rPr>
          <w:color w:val="2980B9"/>
          <w:sz w:val="30"/>
        </w:rPr>
        <w:t>3.6 安徽省区域分析</w:t>
      </w:r>
    </w:p>
    <w:p>
      <w:r>
        <w:rPr>
          <w:b w:val="0"/>
          <w:sz w:val="22"/>
        </w:rPr>
        <w:t>CHARLS 2020安徽省数据(203人,218村居,45+岁)已集成。15种慢性病自报率为区域健康画像提供数据基础。待获取Biomarkers模块后实现精准量化评估。</w:t>
      </w:r>
    </w:p>
    <w:p>
      <w:r>
        <w:br w:type="page"/>
      </w:r>
    </w:p>
    <w:p>
      <w:pPr>
        <w:pStyle w:val="Heading1"/>
      </w:pPr>
      <w:r>
        <w:rPr>
          <w:color w:val="2C3E50"/>
          <w:sz w:val="40"/>
        </w:rPr>
        <w:t>四、应用价值</w:t>
      </w:r>
    </w:p>
    <w:p>
      <w:pPr>
        <w:pStyle w:val="Heading2"/>
      </w:pPr>
      <w:r>
        <w:rPr>
          <w:color w:val="2980B9"/>
          <w:sz w:val="30"/>
        </w:rPr>
        <w:t>4.1 对临床诊断与治疗的启发</w:t>
      </w:r>
    </w:p>
    <w:p>
      <w:pPr>
        <w:spacing w:before="60" w:after="60"/>
        <w:ind w:left="567"/>
      </w:pPr>
      <w:r>
        <w:rPr>
          <w:sz w:val="21"/>
        </w:rPr>
        <w:t>(1) 收缩压管理应作为心血管病预防的第一优先级。SHAP显示收缩压重要性(0.868)是年龄(0.281)的3倍、BMI(0.067)的13倍。基层医疗资源有限时，血压监测和控制是心血管预防的核心抓手。</w:t>
      </w:r>
    </w:p>
    <w:p>
      <w:pPr>
        <w:spacing w:before="60" w:after="60"/>
        <w:ind w:left="567"/>
      </w:pPr>
      <w:r>
        <w:rPr>
          <w:sz w:val="21"/>
        </w:rPr>
        <w:t>(2) 整体健康自评(GenHlth)作为糖尿病#1风险因素(0.632)，提示临床医生应重视患者的自我健康感知——它整合了多种亚临床信号。</w:t>
      </w:r>
    </w:p>
    <w:p>
      <w:pPr>
        <w:spacing w:before="60" w:after="60"/>
        <w:ind w:left="567"/>
      </w:pPr>
      <w:r>
        <w:rPr>
          <w:sz w:val="21"/>
        </w:rPr>
        <w:t>(3) BRFSS 21项问卷(无需采血、无需仪器)即可实现AUC=0.83-0.85的慢性病筛查，为基层社区大规模初筛提供低成本、可规模化的工具。</w:t>
      </w:r>
    </w:p>
    <w:p>
      <w:pPr>
        <w:pStyle w:val="Heading2"/>
      </w:pPr>
      <w:r>
        <w:rPr>
          <w:color w:val="2980B9"/>
          <w:sz w:val="30"/>
        </w:rPr>
        <w:t>4.2 对健康疾病预测的价值</w:t>
      </w:r>
    </w:p>
    <w:p>
      <w:pPr>
        <w:spacing w:before="60" w:after="60"/>
        <w:ind w:left="567"/>
      </w:pPr>
      <w:r>
        <w:rPr>
          <w:sz w:val="21"/>
        </w:rPr>
        <w:t>个体层面: XGBoost/LightGBM慢性病风险评分模型，可个性化计算疾病风险概率，支持分级管理和精准干预。</w:t>
      </w:r>
    </w:p>
    <w:p>
      <w:pPr>
        <w:spacing w:before="60" w:after="60"/>
        <w:ind w:left="567"/>
      </w:pPr>
      <w:r>
        <w:rPr>
          <w:sz w:val="21"/>
        </w:rPr>
        <w:t>群体层面: CUSUM异常检测部署为公共卫生实时监测系统，区域发病率显著偏离时自动预警。2022年底COVID异常检测的成功验证了该方法的实际效用。</w:t>
      </w:r>
    </w:p>
    <w:p>
      <w:pPr>
        <w:spacing w:before="60" w:after="60"/>
        <w:ind w:left="567"/>
      </w:pPr>
      <w:r>
        <w:rPr>
          <w:sz w:val="21"/>
        </w:rPr>
        <w:t>区域层面: CHARLS社区级地理编码(communityID-&gt;省/县/村)+28省风险热力图，为区域健康差异分析和资源配置提供量化决策依据。</w:t>
      </w:r>
    </w:p>
    <w:p>
      <w:pPr>
        <w:pStyle w:val="Heading2"/>
      </w:pPr>
      <w:r>
        <w:rPr>
          <w:color w:val="2980B9"/>
          <w:sz w:val="30"/>
        </w:rPr>
        <w:t>4.3 对医学资源调配的支撑</w:t>
      </w:r>
    </w:p>
    <w:p>
      <w:pPr>
        <w:spacing w:before="60" w:after="60"/>
        <w:ind w:left="567"/>
      </w:pPr>
      <w:r>
        <w:rPr>
          <w:sz w:val="21"/>
        </w:rPr>
        <w:t>(1) 床位管理: 利用率&gt;70%黄色预警(增加备勤), &gt;85%红色预警(启动应急)，避免闲置与挤兑困境。</w:t>
      </w:r>
    </w:p>
    <w:p>
      <w:pPr>
        <w:spacing w:before="60" w:after="60"/>
        <w:ind w:left="567"/>
      </w:pPr>
      <w:r>
        <w:rPr>
          <w:sz w:val="21"/>
        </w:rPr>
        <w:t>(2) 安徽参考配置: 基于M/M/c模型建议每15万人配置15台呼吸机，可接入真实数据动态校准。</w:t>
      </w:r>
    </w:p>
    <w:p>
      <w:pPr>
        <w:spacing w:before="60" w:after="60"/>
        <w:ind w:left="567"/>
      </w:pPr>
      <w:r>
        <w:rPr>
          <w:sz w:val="21"/>
        </w:rPr>
        <w:t>(3) CUSUM实时监测+排队论资源预警组合，实现"疫情早期发现-&gt;提前资源调配-&gt;减少超额死亡"的应急闭环。</w:t>
      </w:r>
    </w:p>
    <w:p>
      <w:pPr>
        <w:spacing w:before="60" w:after="60"/>
        <w:ind w:left="567"/>
      </w:pPr>
      <w:r>
        <w:rPr>
          <w:sz w:val="21"/>
        </w:rPr>
        <w:t>(4) 框架不依赖特定数据集，替换为真实区域医院运营数据后即可产出精准本地化建议。</w:t>
      </w:r>
    </w:p>
    <w:p>
      <w:r>
        <w:br w:type="page"/>
      </w:r>
    </w:p>
    <w:p>
      <w:pPr>
        <w:pStyle w:val="Heading1"/>
      </w:pPr>
      <w:r>
        <w:rPr>
          <w:color w:val="2C3E50"/>
          <w:sz w:val="40"/>
        </w:rPr>
        <w:t>五、总结与展望</w:t>
      </w:r>
    </w:p>
    <w:p>
      <w:pPr>
        <w:pStyle w:val="Heading2"/>
      </w:pPr>
      <w:r>
        <w:rPr>
          <w:color w:val="2980B9"/>
          <w:sz w:val="30"/>
        </w:rPr>
        <w:t>5.1 项目创新点</w:t>
      </w:r>
    </w:p>
    <w:tbl>
      <w:tblPr>
        <w:tblStyle w:val="LightGrid-Accent1"/>
        <w:tblW w:type="auto" w:w="0"/>
        <w:jc w:val="center"/>
        <w:tblLook w:firstColumn="1" w:firstRow="1" w:lastColumn="0" w:lastRow="0" w:noHBand="0" w:noVBand="1" w:val="04A0"/>
      </w:tblPr>
      <w:tblGrid>
        <w:gridCol w:w="4533"/>
        <w:gridCol w:w="4533"/>
      </w:tblGrid>
      <w:tr>
        <w:tc>
          <w:tcPr>
            <w:tcW w:type="dxa" w:w="4533"/>
          </w:tcPr>
          <w:p>
            <w:r/>
            <w:r>
              <w:rPr>
                <w:b/>
                <w:sz w:val="19"/>
              </w:rPr>
              <w:t>创新维度</w:t>
            </w:r>
          </w:p>
        </w:tc>
        <w:tc>
          <w:tcPr>
            <w:tcW w:type="dxa" w:w="4533"/>
          </w:tcPr>
          <w:p>
            <w:r/>
            <w:r>
              <w:rPr>
                <w:b/>
                <w:sz w:val="19"/>
              </w:rPr>
              <w:t>具体内容</w:t>
            </w:r>
          </w:p>
        </w:tc>
      </w:tr>
      <w:tr>
        <w:tc>
          <w:tcPr>
            <w:tcW w:type="dxa" w:w="4533"/>
          </w:tcPr>
          <w:p>
            <w:r/>
            <w:r>
              <w:rPr>
                <w:sz w:val="18"/>
              </w:rPr>
              <w:t>方法论</w:t>
            </w:r>
          </w:p>
        </w:tc>
        <w:tc>
          <w:tcPr>
            <w:tcW w:type="dxa" w:w="4533"/>
          </w:tcPr>
          <w:p>
            <w:r/>
            <w:r>
              <w:rPr>
                <w:sz w:val="18"/>
              </w:rPr>
              <w:t>首次在健康风险预测中开展PCA降维vs原始特征的严格对比实验，揭示信息泄露风险</w:t>
            </w:r>
          </w:p>
        </w:tc>
      </w:tr>
      <w:tr>
        <w:tc>
          <w:tcPr>
            <w:tcW w:type="dxa" w:w="4533"/>
          </w:tcPr>
          <w:p>
            <w:r/>
            <w:r>
              <w:rPr>
                <w:sz w:val="18"/>
              </w:rPr>
              <w:t>可解释性</w:t>
            </w:r>
          </w:p>
        </w:tc>
        <w:tc>
          <w:tcPr>
            <w:tcW w:type="dxa" w:w="4533"/>
          </w:tcPr>
          <w:p>
            <w:r/>
            <w:r>
              <w:rPr>
                <w:sz w:val="18"/>
              </w:rPr>
              <w:t>SHAP实现数据驱动发现与临床知识双向验证(收缩压#1 vs Framingham研究)</w:t>
            </w:r>
          </w:p>
        </w:tc>
      </w:tr>
      <w:tr>
        <w:tc>
          <w:tcPr>
            <w:tcW w:type="dxa" w:w="4533"/>
          </w:tcPr>
          <w:p>
            <w:r/>
            <w:r>
              <w:rPr>
                <w:sz w:val="18"/>
              </w:rPr>
              <w:t>区域化</w:t>
            </w:r>
          </w:p>
        </w:tc>
        <w:tc>
          <w:tcPr>
            <w:tcW w:type="dxa" w:w="4533"/>
          </w:tcPr>
          <w:p>
            <w:r/>
            <w:r>
              <w:rPr>
                <w:sz w:val="18"/>
              </w:rPr>
              <w:t>CHARLS安徽数据集成+双轨策略(国际训练+中国验证)</w:t>
            </w:r>
          </w:p>
        </w:tc>
      </w:tr>
      <w:tr>
        <w:tc>
          <w:tcPr>
            <w:tcW w:type="dxa" w:w="4533"/>
          </w:tcPr>
          <w:p>
            <w:r/>
            <w:r>
              <w:rPr>
                <w:sz w:val="18"/>
              </w:rPr>
              <w:t>隐私合规</w:t>
            </w:r>
          </w:p>
        </w:tc>
        <w:tc>
          <w:tcPr>
            <w:tcW w:type="dxa" w:w="4533"/>
          </w:tcPr>
          <w:p>
            <w:r/>
            <w:r>
              <w:rPr>
                <w:sz w:val="18"/>
              </w:rPr>
              <w:t>SHA-256+差分隐私(epsilon=1.0)+K匿名(K&gt;=5)三层防护</w:t>
            </w:r>
          </w:p>
        </w:tc>
      </w:tr>
      <w:tr>
        <w:tc>
          <w:tcPr>
            <w:tcW w:type="dxa" w:w="4533"/>
          </w:tcPr>
          <w:p>
            <w:r/>
            <w:r>
              <w:rPr>
                <w:sz w:val="18"/>
              </w:rPr>
              <w:t>易用性</w:t>
            </w:r>
          </w:p>
        </w:tc>
        <w:tc>
          <w:tcPr>
            <w:tcW w:type="dxa" w:w="4533"/>
          </w:tcPr>
          <w:p>
            <w:r/>
            <w:r>
              <w:rPr>
                <w:sz w:val="18"/>
              </w:rPr>
              <w:t>17KB独立HTML仪表板(零依赖,浏览器直开)+Markdown/PDF双格式报告</w:t>
            </w:r>
          </w:p>
        </w:tc>
      </w:tr>
    </w:tbl>
    <w:p/>
    <w:p>
      <w:pPr>
        <w:pStyle w:val="Heading2"/>
      </w:pPr>
      <w:r>
        <w:rPr>
          <w:color w:val="2980B9"/>
          <w:sz w:val="30"/>
        </w:rPr>
        <w:t>5.2 关键指标达成</w:t>
      </w:r>
    </w:p>
    <w:tbl>
      <w:tblPr>
        <w:tblStyle w:val="LightGrid-Accent1"/>
        <w:tblW w:type="auto" w:w="0"/>
        <w:jc w:val="center"/>
        <w:tblLook w:firstColumn="1" w:firstRow="1" w:lastColumn="0" w:lastRow="0" w:noHBand="0" w:noVBand="1" w:val="04A0"/>
      </w:tblPr>
      <w:tblGrid>
        <w:gridCol w:w="2266"/>
        <w:gridCol w:w="2266"/>
        <w:gridCol w:w="2266"/>
        <w:gridCol w:w="2266"/>
      </w:tblGrid>
      <w:tr>
        <w:tc>
          <w:tcPr>
            <w:tcW w:type="dxa" w:w="2266"/>
          </w:tcPr>
          <w:p>
            <w:r/>
            <w:r>
              <w:rPr>
                <w:b/>
                <w:sz w:val="19"/>
              </w:rPr>
              <w:t>指标</w:t>
            </w:r>
          </w:p>
        </w:tc>
        <w:tc>
          <w:tcPr>
            <w:tcW w:type="dxa" w:w="2266"/>
          </w:tcPr>
          <w:p>
            <w:r/>
            <w:r>
              <w:rPr>
                <w:b/>
                <w:sz w:val="19"/>
              </w:rPr>
              <w:t>目标</w:t>
            </w:r>
          </w:p>
        </w:tc>
        <w:tc>
          <w:tcPr>
            <w:tcW w:type="dxa" w:w="2266"/>
          </w:tcPr>
          <w:p>
            <w:r/>
            <w:r>
              <w:rPr>
                <w:b/>
                <w:sz w:val="19"/>
              </w:rPr>
              <w:t>实际</w:t>
            </w:r>
          </w:p>
        </w:tc>
        <w:tc>
          <w:tcPr>
            <w:tcW w:type="dxa" w:w="2266"/>
          </w:tcPr>
          <w:p>
            <w:r/>
            <w:r>
              <w:rPr>
                <w:b/>
                <w:sz w:val="19"/>
              </w:rPr>
              <w:t>达成</w:t>
            </w:r>
          </w:p>
        </w:tc>
      </w:tr>
      <w:tr>
        <w:tc>
          <w:tcPr>
            <w:tcW w:type="dxa" w:w="2266"/>
          </w:tcPr>
          <w:p>
            <w:r/>
            <w:r>
              <w:rPr>
                <w:sz w:val="18"/>
              </w:rPr>
              <w:t>AUC-ROC</w:t>
            </w:r>
          </w:p>
        </w:tc>
        <w:tc>
          <w:tcPr>
            <w:tcW w:type="dxa" w:w="2266"/>
          </w:tcPr>
          <w:p>
            <w:r/>
            <w:r>
              <w:rPr>
                <w:sz w:val="18"/>
              </w:rPr>
              <w:t>&gt;=0.85</w:t>
            </w:r>
          </w:p>
        </w:tc>
        <w:tc>
          <w:tcPr>
            <w:tcW w:type="dxa" w:w="2266"/>
          </w:tcPr>
          <w:p>
            <w:r/>
            <w:r>
              <w:rPr>
                <w:sz w:val="18"/>
              </w:rPr>
              <w:t>0.851 (BRFSS Heart)</w:t>
            </w:r>
          </w:p>
        </w:tc>
        <w:tc>
          <w:tcPr>
            <w:tcW w:type="dxa" w:w="2266"/>
          </w:tcPr>
          <w:p>
            <w:r/>
            <w:r>
              <w:rPr>
                <w:sz w:val="18"/>
              </w:rPr>
              <w:t>达标</w:t>
            </w:r>
          </w:p>
        </w:tc>
      </w:tr>
      <w:tr>
        <w:tc>
          <w:tcPr>
            <w:tcW w:type="dxa" w:w="2266"/>
          </w:tcPr>
          <w:p>
            <w:r/>
            <w:r>
              <w:rPr>
                <w:sz w:val="18"/>
              </w:rPr>
              <w:t>F1 Score</w:t>
            </w:r>
          </w:p>
        </w:tc>
        <w:tc>
          <w:tcPr>
            <w:tcW w:type="dxa" w:w="2266"/>
          </w:tcPr>
          <w:p>
            <w:r/>
            <w:r>
              <w:rPr>
                <w:sz w:val="18"/>
              </w:rPr>
              <w:t>&gt;=0.78</w:t>
            </w:r>
          </w:p>
        </w:tc>
        <w:tc>
          <w:tcPr>
            <w:tcW w:type="dxa" w:w="2266"/>
          </w:tcPr>
          <w:p>
            <w:r/>
            <w:r>
              <w:rPr>
                <w:sz w:val="18"/>
              </w:rPr>
              <w:t>0.724 (接近,受不平衡影响)</w:t>
            </w:r>
          </w:p>
        </w:tc>
        <w:tc>
          <w:tcPr>
            <w:tcW w:type="dxa" w:w="2266"/>
          </w:tcPr>
          <w:p>
            <w:r/>
            <w:r>
              <w:rPr>
                <w:sz w:val="18"/>
              </w:rPr>
              <w:t>接近</w:t>
            </w:r>
          </w:p>
        </w:tc>
      </w:tr>
      <w:tr>
        <w:tc>
          <w:tcPr>
            <w:tcW w:type="dxa" w:w="2266"/>
          </w:tcPr>
          <w:p>
            <w:r/>
            <w:r>
              <w:rPr>
                <w:sz w:val="18"/>
              </w:rPr>
              <w:t>数据缺失率</w:t>
            </w:r>
          </w:p>
        </w:tc>
        <w:tc>
          <w:tcPr>
            <w:tcW w:type="dxa" w:w="2266"/>
          </w:tcPr>
          <w:p>
            <w:r/>
            <w:r>
              <w:rPr>
                <w:sz w:val="18"/>
              </w:rPr>
              <w:t>&lt;5%</w:t>
            </w:r>
          </w:p>
        </w:tc>
        <w:tc>
          <w:tcPr>
            <w:tcW w:type="dxa" w:w="2266"/>
          </w:tcPr>
          <w:p>
            <w:r/>
            <w:r>
              <w:rPr>
                <w:sz w:val="18"/>
              </w:rPr>
              <w:t>0.00%</w:t>
            </w:r>
          </w:p>
        </w:tc>
        <w:tc>
          <w:tcPr>
            <w:tcW w:type="dxa" w:w="2266"/>
          </w:tcPr>
          <w:p>
            <w:r/>
            <w:r>
              <w:rPr>
                <w:sz w:val="18"/>
              </w:rPr>
              <w:t>超额达成</w:t>
            </w:r>
          </w:p>
        </w:tc>
      </w:tr>
      <w:tr>
        <w:tc>
          <w:tcPr>
            <w:tcW w:type="dxa" w:w="2266"/>
          </w:tcPr>
          <w:p>
            <w:r/>
            <w:r>
              <w:rPr>
                <w:sz w:val="18"/>
              </w:rPr>
              <w:t>隐私epsilon</w:t>
            </w:r>
          </w:p>
        </w:tc>
        <w:tc>
          <w:tcPr>
            <w:tcW w:type="dxa" w:w="2266"/>
          </w:tcPr>
          <w:p>
            <w:r/>
            <w:r>
              <w:rPr>
                <w:sz w:val="18"/>
              </w:rPr>
              <w:t>&lt;=1.0</w:t>
            </w:r>
          </w:p>
        </w:tc>
        <w:tc>
          <w:tcPr>
            <w:tcW w:type="dxa" w:w="2266"/>
          </w:tcPr>
          <w:p>
            <w:r/>
            <w:r>
              <w:rPr>
                <w:sz w:val="18"/>
              </w:rPr>
              <w:t>1.0</w:t>
            </w:r>
          </w:p>
        </w:tc>
        <w:tc>
          <w:tcPr>
            <w:tcW w:type="dxa" w:w="2266"/>
          </w:tcPr>
          <w:p>
            <w:r/>
            <w:r>
              <w:rPr>
                <w:sz w:val="18"/>
              </w:rPr>
              <w:t>达标</w:t>
            </w:r>
          </w:p>
        </w:tc>
      </w:tr>
      <w:tr>
        <w:tc>
          <w:tcPr>
            <w:tcW w:type="dxa" w:w="2266"/>
          </w:tcPr>
          <w:p>
            <w:r/>
            <w:r>
              <w:rPr>
                <w:sz w:val="18"/>
              </w:rPr>
              <w:t>K-匿名性</w:t>
            </w:r>
          </w:p>
        </w:tc>
        <w:tc>
          <w:tcPr>
            <w:tcW w:type="dxa" w:w="2266"/>
          </w:tcPr>
          <w:p>
            <w:r/>
            <w:r>
              <w:rPr>
                <w:sz w:val="18"/>
              </w:rPr>
              <w:t>K&gt;=5</w:t>
            </w:r>
          </w:p>
        </w:tc>
        <w:tc>
          <w:tcPr>
            <w:tcW w:type="dxa" w:w="2266"/>
          </w:tcPr>
          <w:p>
            <w:r/>
            <w:r>
              <w:rPr>
                <w:sz w:val="18"/>
              </w:rPr>
              <w:t>&gt;=5</w:t>
            </w:r>
          </w:p>
        </w:tc>
        <w:tc>
          <w:tcPr>
            <w:tcW w:type="dxa" w:w="2266"/>
          </w:tcPr>
          <w:p>
            <w:r/>
            <w:r>
              <w:rPr>
                <w:sz w:val="18"/>
              </w:rPr>
              <w:t>达标</w:t>
            </w:r>
          </w:p>
        </w:tc>
      </w:tr>
      <w:tr>
        <w:tc>
          <w:tcPr>
            <w:tcW w:type="dxa" w:w="2266"/>
          </w:tcPr>
          <w:p>
            <w:r/>
            <w:r>
              <w:rPr>
                <w:sz w:val="18"/>
              </w:rPr>
              <w:t>面板模块</w:t>
            </w:r>
          </w:p>
        </w:tc>
        <w:tc>
          <w:tcPr>
            <w:tcW w:type="dxa" w:w="2266"/>
          </w:tcPr>
          <w:p>
            <w:r/>
            <w:r>
              <w:rPr>
                <w:sz w:val="18"/>
              </w:rPr>
              <w:t>&gt;=4</w:t>
            </w:r>
          </w:p>
        </w:tc>
        <w:tc>
          <w:tcPr>
            <w:tcW w:type="dxa" w:w="2266"/>
          </w:tcPr>
          <w:p>
            <w:r/>
            <w:r>
              <w:rPr>
                <w:sz w:val="18"/>
              </w:rPr>
              <w:t>5标签页</w:t>
            </w:r>
          </w:p>
        </w:tc>
        <w:tc>
          <w:tcPr>
            <w:tcW w:type="dxa" w:w="2266"/>
          </w:tcPr>
          <w:p>
            <w:r/>
            <w:r>
              <w:rPr>
                <w:sz w:val="18"/>
              </w:rPr>
              <w:t>达标</w:t>
            </w:r>
          </w:p>
        </w:tc>
      </w:tr>
    </w:tbl>
    <w:p/>
    <w:p>
      <w:pPr>
        <w:pStyle w:val="Heading2"/>
      </w:pPr>
      <w:r>
        <w:rPr>
          <w:color w:val="2980B9"/>
          <w:sz w:val="30"/>
        </w:rPr>
        <w:t>5.3 未来方向</w:t>
      </w:r>
    </w:p>
    <w:p>
      <w:pPr>
        <w:spacing w:before="60" w:after="60"/>
        <w:ind w:left="567"/>
      </w:pPr>
      <w:r>
        <w:rPr>
          <w:sz w:val="21"/>
        </w:rPr>
        <w:t>(1) 获取CHARLS Biomarkers实测体检数据，提升安徽区域分析精度</w:t>
      </w:r>
    </w:p>
    <w:p>
      <w:pPr>
        <w:spacing w:before="60" w:after="60"/>
        <w:ind w:left="567"/>
      </w:pPr>
      <w:r>
        <w:rPr>
          <w:sz w:val="21"/>
        </w:rPr>
        <w:t>(2) 替换Healthcare Ops合成数据为真实医院运营数据(如MIMIC-IV)</w:t>
      </w:r>
    </w:p>
    <w:p>
      <w:pPr>
        <w:spacing w:before="60" w:after="60"/>
        <w:ind w:left="567"/>
      </w:pPr>
      <w:r>
        <w:rPr>
          <w:sz w:val="21"/>
        </w:rPr>
        <w:t>(3) 补充CFPS/CHNS等中国全年龄段数据，扩展人群覆盖</w:t>
      </w:r>
    </w:p>
    <w:p>
      <w:pPr>
        <w:spacing w:before="60" w:after="60"/>
        <w:ind w:left="567"/>
      </w:pPr>
      <w:r>
        <w:rPr>
          <w:sz w:val="21"/>
        </w:rPr>
        <w:t>(4) 利用CHARLS五波面板数据(2011-2020)实现个体健康轨迹纵向预测</w:t>
      </w:r>
    </w:p>
    <w:p>
      <w:r>
        <w:br w:type="page"/>
      </w:r>
    </w:p>
    <w:p>
      <w:pPr>
        <w:pStyle w:val="Heading1"/>
      </w:pPr>
      <w:r>
        <w:rPr>
          <w:color w:val="2C3E50"/>
          <w:sz w:val="40"/>
        </w:rPr>
        <w:t>附录: 交付物与合规声明</w:t>
      </w:r>
    </w:p>
    <w:p>
      <w:pPr>
        <w:pStyle w:val="Heading2"/>
      </w:pPr>
      <w:r>
        <w:rPr>
          <w:color w:val="2980B9"/>
          <w:sz w:val="30"/>
        </w:rPr>
        <w:t>A.1 项目交付物</w:t>
      </w:r>
    </w:p>
    <w:tbl>
      <w:tblPr>
        <w:tblStyle w:val="LightGrid-Accent1"/>
        <w:tblW w:type="auto" w:w="0"/>
        <w:jc w:val="center"/>
        <w:tblLook w:firstColumn="1" w:firstRow="1" w:lastColumn="0" w:lastRow="0" w:noHBand="0" w:noVBand="1" w:val="04A0"/>
      </w:tblPr>
      <w:tblGrid>
        <w:gridCol w:w="3022"/>
        <w:gridCol w:w="3022"/>
        <w:gridCol w:w="3022"/>
      </w:tblGrid>
      <w:tr>
        <w:tc>
          <w:tcPr>
            <w:tcW w:type="dxa" w:w="3022"/>
          </w:tcPr>
          <w:p>
            <w:r/>
            <w:r>
              <w:rPr>
                <w:b/>
                <w:sz w:val="19"/>
              </w:rPr>
              <w:t>类别</w:t>
            </w:r>
          </w:p>
        </w:tc>
        <w:tc>
          <w:tcPr>
            <w:tcW w:type="dxa" w:w="3022"/>
          </w:tcPr>
          <w:p>
            <w:r/>
            <w:r>
              <w:rPr>
                <w:b/>
                <w:sz w:val="19"/>
              </w:rPr>
              <w:t>文件</w:t>
            </w:r>
          </w:p>
        </w:tc>
        <w:tc>
          <w:tcPr>
            <w:tcW w:type="dxa" w:w="3022"/>
          </w:tcPr>
          <w:p>
            <w:r/>
            <w:r>
              <w:rPr>
                <w:b/>
                <w:sz w:val="19"/>
              </w:rPr>
              <w:t>说明</w:t>
            </w:r>
          </w:p>
        </w:tc>
      </w:tr>
      <w:tr>
        <w:tc>
          <w:tcPr>
            <w:tcW w:type="dxa" w:w="3022"/>
          </w:tcPr>
          <w:p>
            <w:r/>
            <w:r>
              <w:rPr>
                <w:sz w:val="18"/>
              </w:rPr>
              <w:t>参赛报告</w:t>
            </w:r>
          </w:p>
        </w:tc>
        <w:tc>
          <w:tcPr>
            <w:tcW w:type="dxa" w:w="3022"/>
          </w:tcPr>
          <w:p>
            <w:r/>
            <w:r>
              <w:rPr>
                <w:sz w:val="18"/>
              </w:rPr>
              <w:t>项目分析报告.docx</w:t>
            </w:r>
          </w:p>
        </w:tc>
        <w:tc>
          <w:tcPr>
            <w:tcW w:type="dxa" w:w="3022"/>
          </w:tcPr>
          <w:p>
            <w:r/>
            <w:r>
              <w:rPr>
                <w:sz w:val="18"/>
              </w:rPr>
              <w:t>本文档</w:t>
            </w:r>
          </w:p>
        </w:tc>
      </w:tr>
      <w:tr>
        <w:tc>
          <w:tcPr>
            <w:tcW w:type="dxa" w:w="3022"/>
          </w:tcPr>
          <w:p>
            <w:r/>
            <w:r>
              <w:rPr>
                <w:sz w:val="18"/>
              </w:rPr>
              <w:t>源代码</w:t>
            </w:r>
          </w:p>
        </w:tc>
        <w:tc>
          <w:tcPr>
            <w:tcW w:type="dxa" w:w="3022"/>
          </w:tcPr>
          <w:p>
            <w:r/>
            <w:r>
              <w:rPr>
                <w:sz w:val="18"/>
              </w:rPr>
              <w:t>src/ (21个.py脚本)</w:t>
            </w:r>
          </w:p>
        </w:tc>
        <w:tc>
          <w:tcPr>
            <w:tcW w:type="dxa" w:w="3022"/>
          </w:tcPr>
          <w:p>
            <w:r/>
            <w:r>
              <w:rPr>
                <w:sz w:val="18"/>
              </w:rPr>
              <w:t>数据/建模/趋势/面板/报告完整代码</w:t>
            </w:r>
          </w:p>
        </w:tc>
      </w:tr>
      <w:tr>
        <w:tc>
          <w:tcPr>
            <w:tcW w:type="dxa" w:w="3022"/>
          </w:tcPr>
          <w:p>
            <w:r/>
            <w:r>
              <w:rPr>
                <w:sz w:val="18"/>
              </w:rPr>
              <w:t>模型</w:t>
            </w:r>
          </w:p>
        </w:tc>
        <w:tc>
          <w:tcPr>
            <w:tcW w:type="dxa" w:w="3022"/>
          </w:tcPr>
          <w:p>
            <w:r/>
            <w:r>
              <w:rPr>
                <w:sz w:val="18"/>
              </w:rPr>
              <w:t>outputs/models/ (7个.pkl, 4.8MB)</w:t>
            </w:r>
          </w:p>
        </w:tc>
        <w:tc>
          <w:tcPr>
            <w:tcW w:type="dxa" w:w="3022"/>
          </w:tcPr>
          <w:p>
            <w:r/>
            <w:r>
              <w:rPr>
                <w:sz w:val="18"/>
              </w:rPr>
              <w:t>训练完成的预测模型</w:t>
            </w:r>
          </w:p>
        </w:tc>
      </w:tr>
      <w:tr>
        <w:tc>
          <w:tcPr>
            <w:tcW w:type="dxa" w:w="3022"/>
          </w:tcPr>
          <w:p>
            <w:r/>
            <w:r>
              <w:rPr>
                <w:sz w:val="18"/>
              </w:rPr>
              <w:t>图表</w:t>
            </w:r>
          </w:p>
        </w:tc>
        <w:tc>
          <w:tcPr>
            <w:tcW w:type="dxa" w:w="3022"/>
          </w:tcPr>
          <w:p>
            <w:r/>
            <w:r>
              <w:rPr>
                <w:sz w:val="18"/>
              </w:rPr>
              <w:t>outputs/figures/ (12张.png, 2.1MB)</w:t>
            </w:r>
          </w:p>
        </w:tc>
        <w:tc>
          <w:tcPr>
            <w:tcW w:type="dxa" w:w="3022"/>
          </w:tcPr>
          <w:p>
            <w:r/>
            <w:r>
              <w:rPr>
                <w:sz w:val="18"/>
              </w:rPr>
              <w:t>SHAP/ROC/Trend/CUSUM</w:t>
            </w:r>
          </w:p>
        </w:tc>
      </w:tr>
      <w:tr>
        <w:tc>
          <w:tcPr>
            <w:tcW w:type="dxa" w:w="3022"/>
          </w:tcPr>
          <w:p>
            <w:r/>
            <w:r>
              <w:rPr>
                <w:sz w:val="18"/>
              </w:rPr>
              <w:t>面板</w:t>
            </w:r>
          </w:p>
        </w:tc>
        <w:tc>
          <w:tcPr>
            <w:tcW w:type="dxa" w:w="3022"/>
          </w:tcPr>
          <w:p>
            <w:r/>
            <w:r>
              <w:rPr>
                <w:sz w:val="18"/>
              </w:rPr>
              <w:t>dashboard/index.html (17KB)</w:t>
            </w:r>
          </w:p>
        </w:tc>
        <w:tc>
          <w:tcPr>
            <w:tcW w:type="dxa" w:w="3022"/>
          </w:tcPr>
          <w:p>
            <w:r/>
            <w:r>
              <w:rPr>
                <w:sz w:val="18"/>
              </w:rPr>
              <w:t>独立HTML,5标签页,零依赖</w:t>
            </w:r>
          </w:p>
        </w:tc>
      </w:tr>
      <w:tr>
        <w:tc>
          <w:tcPr>
            <w:tcW w:type="dxa" w:w="3022"/>
          </w:tcPr>
          <w:p>
            <w:r/>
            <w:r>
              <w:rPr>
                <w:sz w:val="18"/>
              </w:rPr>
              <w:t>报告</w:t>
            </w:r>
          </w:p>
        </w:tc>
        <w:tc>
          <w:tcPr>
            <w:tcW w:type="dxa" w:w="3022"/>
          </w:tcPr>
          <w:p>
            <w:r/>
            <w:r>
              <w:rPr>
                <w:sz w:val="18"/>
              </w:rPr>
              <w:t>outputs/report/ (PDF+MD+DOCX)</w:t>
            </w:r>
          </w:p>
        </w:tc>
        <w:tc>
          <w:tcPr>
            <w:tcW w:type="dxa" w:w="3022"/>
          </w:tcPr>
          <w:p>
            <w:r/>
            <w:r>
              <w:rPr>
                <w:sz w:val="18"/>
              </w:rPr>
              <w:t>多格式技术报告</w:t>
            </w:r>
          </w:p>
        </w:tc>
      </w:tr>
      <w:tr>
        <w:tc>
          <w:tcPr>
            <w:tcW w:type="dxa" w:w="3022"/>
          </w:tcPr>
          <w:p>
            <w:r/>
            <w:r>
              <w:rPr>
                <w:sz w:val="18"/>
              </w:rPr>
              <w:t>配置</w:t>
            </w:r>
          </w:p>
        </w:tc>
        <w:tc>
          <w:tcPr>
            <w:tcW w:type="dxa" w:w="3022"/>
          </w:tcPr>
          <w:p>
            <w:r/>
            <w:r>
              <w:rPr>
                <w:sz w:val="18"/>
              </w:rPr>
              <w:t>requirements.txt+README+run_all.py</w:t>
            </w:r>
          </w:p>
        </w:tc>
        <w:tc>
          <w:tcPr>
            <w:tcW w:type="dxa" w:w="3022"/>
          </w:tcPr>
          <w:p>
            <w:r/>
            <w:r>
              <w:rPr>
                <w:sz w:val="18"/>
              </w:rPr>
              <w:t>环境+说明+一键入口</w:t>
            </w:r>
          </w:p>
        </w:tc>
      </w:tr>
    </w:tbl>
    <w:p/>
    <w:p>
      <w:pPr>
        <w:pStyle w:val="Heading2"/>
      </w:pPr>
      <w:r>
        <w:rPr>
          <w:color w:val="2980B9"/>
          <w:sz w:val="30"/>
        </w:rPr>
        <w:t>A.2 合规与伦理声明</w:t>
      </w:r>
    </w:p>
    <w:p>
      <w:pPr>
        <w:spacing w:before="60" w:after="60"/>
        <w:ind w:left="567"/>
      </w:pPr>
      <w:r>
        <w:rPr>
          <w:sz w:val="21"/>
        </w:rPr>
        <w:t>1. 所有数据均来自国际公开脱敏平台(WHO/CDC/Kaggle/UCI/NCD-RisC/OWID/CHARLS)</w:t>
      </w:r>
    </w:p>
    <w:p>
      <w:pPr>
        <w:spacing w:before="60" w:after="60"/>
        <w:ind w:left="567"/>
      </w:pPr>
      <w:r>
        <w:rPr>
          <w:sz w:val="21"/>
        </w:rPr>
        <w:t>2. 所有个人标识符已通过SHA-256哈希不可逆脱敏(758+列)，原始标识列物理删除</w:t>
      </w:r>
    </w:p>
    <w:p>
      <w:pPr>
        <w:spacing w:before="60" w:after="60"/>
        <w:ind w:left="567"/>
      </w:pPr>
      <w:r>
        <w:rPr>
          <w:sz w:val="21"/>
        </w:rPr>
        <w:t>3. 统计发布满足epsilon=1.0差分隐私保护(Laplace机制)</w:t>
      </w:r>
    </w:p>
    <w:p>
      <w:pPr>
        <w:spacing w:before="60" w:after="60"/>
        <w:ind w:left="567"/>
      </w:pPr>
      <w:r>
        <w:rPr>
          <w:sz w:val="21"/>
        </w:rPr>
        <w:t>4. K-匿名性K&gt;=5，年龄等连续变量已泛化至10岁档</w:t>
      </w:r>
    </w:p>
    <w:p>
      <w:pPr>
        <w:spacing w:before="60" w:after="60"/>
        <w:ind w:left="567"/>
      </w:pPr>
      <w:r>
        <w:rPr>
          <w:sz w:val="21"/>
        </w:rPr>
        <w:t>5. 遵循《中华人民共和国数据安全法》《中华人民共和国个人信息保护法》</w:t>
      </w:r>
    </w:p>
    <w:p>
      <w:pPr>
        <w:spacing w:before="60" w:after="60"/>
        <w:ind w:left="567"/>
      </w:pPr>
      <w:r>
        <w:rPr>
          <w:sz w:val="21"/>
        </w:rPr>
        <w:t>6. CHARLS数据已通过北京大学伦理委员会审批，受访者均已签署知情同意书</w:t>
      </w:r>
    </w:p>
    <w:p>
      <w:pPr>
        <w:spacing w:before="60" w:after="60"/>
        <w:ind w:left="567"/>
      </w:pPr>
      <w:r>
        <w:rPr>
          <w:sz w:val="21"/>
        </w:rPr>
        <w:t>7. 模型输出仅供科研参考，不构成临床诊断，不替代执业医师判断</w:t>
      </w:r>
    </w:p>
    <w:p>
      <w:pPr>
        <w:spacing w:before="60" w:after="60"/>
        <w:ind w:left="567"/>
      </w:pPr>
      <w:r>
        <w:rPr>
          <w:sz w:val="21"/>
        </w:rPr>
        <w:t>8. 本项目为独立原创参赛作品，未曾在其他学术论文、毕业设计或学科竞赛中提交</w:t>
      </w:r>
    </w:p>
    <w:p>
      <w:r>
        <w:rPr>
          <w:b w:val="0"/>
          <w:sz w:val="22"/>
        </w:rPr>
      </w:r>
    </w:p>
    <w:p>
      <w:r>
        <w:rPr>
          <w:b w:val="0"/>
          <w:color w:val="CCCCCC"/>
          <w:sz w:val="16"/>
        </w:rPr>
        <w:t>----------------------------------------------------------------------</w:t>
      </w:r>
    </w:p>
    <w:p>
      <w:pPr>
        <w:jc w:val="center"/>
      </w:pPr>
      <w:r>
        <w:rPr>
          <w:b w:val="0"/>
          <w:color w:val="999999"/>
          <w:sz w:val="18"/>
        </w:rPr>
        <w:t>报告完成: 2026年07月11日 22:40</w:t>
      </w:r>
    </w:p>
    <w:p>
      <w:pPr>
        <w:jc w:val="center"/>
      </w:pPr>
      <w:r>
        <w:rPr>
          <w:b w:val="0"/>
          <w:color w:val="999999"/>
          <w:sz w:val="18"/>
        </w:rPr>
        <w:t>区域健康风险预测与智能诊疗决策项目组</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