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</w:pPr>
      <w:r>
        <w:rPr>
          <w:sz w:val="48"/>
        </w:rPr>
        <w:t>区域健康风险预测与智能诊疗决策</w:t>
      </w:r>
    </w:p>
    <w:p/>
    <w:p>
      <w:pPr>
        <w:jc w:val="center"/>
      </w:pPr>
      <w:r>
        <w:rPr>
          <w:b/>
          <w:color w:val="2C3E50"/>
          <w:sz w:val="44"/>
        </w:rPr>
        <w:t>完整项目报告</w:t>
      </w:r>
    </w:p>
    <w:p>
      <w:pPr>
        <w:jc w:val="center"/>
      </w:pPr>
      <w:r>
        <w:rPr>
          <w:b/>
          <w:color w:val="2980B9"/>
          <w:sz w:val="28"/>
        </w:rPr>
        <w:t>Health Risk Prediction &amp; Clinical Decision Support</w:t>
      </w:r>
    </w:p>
    <w:p/>
    <w:p/>
    <w:p>
      <w:pPr>
        <w:jc w:val="center"/>
      </w:pPr>
      <w:r>
        <w:rPr>
          <w:b/>
        </w:rPr>
        <w:t>版本: V2.0 (最终版)</w:t>
      </w:r>
    </w:p>
    <w:p>
      <w:pPr>
        <w:jc w:val="center"/>
      </w:pPr>
      <w:r>
        <w:rPr>
          <w:b/>
        </w:rPr>
        <w:t>日期: 2026年7月11日</w:t>
      </w:r>
    </w:p>
    <w:p>
      <w:pPr>
        <w:jc w:val="center"/>
      </w:pPr>
      <w:r>
        <w:rPr>
          <w:b/>
        </w:rPr>
        <w:t>定位: 参赛作品完整技术文档</w:t>
      </w:r>
    </w:p>
    <w:p>
      <w:pPr>
        <w:jc w:val="center"/>
      </w:pPr>
      <w:r>
        <w:rPr>
          <w:b/>
        </w:rPr>
        <w:t>数据: BRFSS 50.7万 + Cardiovascular 7万 + OWID中国 + CHARLS安徽</w:t>
      </w:r>
    </w:p>
    <w:p>
      <w:pPr>
        <w:jc w:val="center"/>
      </w:pPr>
      <w:r>
        <w:rPr>
          <w:b/>
        </w:rPr>
        <w:t>建模: 原始特征(无PCA) | XGBoost AUC 0.83-0.85 | SHAP完全可解释</w:t>
      </w:r>
    </w:p>
    <w:p>
      <w:r>
        <w:br w:type="page"/>
      </w:r>
    </w:p>
    <w:p>
      <w:pPr>
        <w:pStyle w:val="Heading1"/>
      </w:pPr>
      <w:r>
        <w:rPr>
          <w:color w:val="2C3E50"/>
          <w:sz w:val="36"/>
        </w:rPr>
        <w:t>项目摘要</w:t>
      </w:r>
    </w:p>
    <w:p>
      <w:r>
        <w:rPr>
          <w:b w:val="0"/>
          <w:sz w:val="22"/>
        </w:rPr>
        <w:t>本项目针对医疗健康数据多模态、高维度、强隐私特征，以区域健康风险预测与智能诊疗决策为核心目标，完成了从数据获取、清洗融合、隐私保护到建模分析和可视化决策支持的全流程技术实现。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任务一 — 数据治理：从WHO、CDC、Kaggle、UCI、NCD-RisC等15个国际权威平台获取95个原始医疗数据文件 (134万+条记录)，完成缺失值填补 (缺失率降至0%)、异常值截尾、特征标准化，构建4个主题域融合特征矩阵。同时集成CHARLS 2020中国安徽省数据 (203人，10模块，15种慢性病)。隐私保护采用SHA-256哈希脱敏 + 差分隐私 (epsilon=1.0) + K-匿名 (K&gt;=5) 三层防护。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任务二 — 建模分析：经PCA与原始特征对比实验，确认PCA版AUC=0.998为信息泄露所致 (虚高)。改用BRFSS原始21项特征直接建模，XGBoost糖尿病AUC=0.828、心脏病AUC=0.851，Cardiovascular实测数据LightGBM AUC=0.801。SHAP分析揭示收缩压是心血管病No.1风险因素 (SHAP=0.868)，与Framingham经典研究一致。趋势预测用OWID中国COVID-19数据 (11,630天)，CUSUM检测到2022末-2023初关键异常。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任务三 — 可视化：构建Dash交互式Web面板和独立HTML仪表板 (17KB零依赖)，涵盖模型性能、SHAP风险因素、趋势预测、安徽区域健康、资源评估5个模块。支持Markdown/PDF双格式报告一键导出。</w:t>
      </w:r>
    </w:p>
    <w:p>
      <w:r>
        <w:br w:type="page"/>
      </w:r>
    </w:p>
    <w:p>
      <w:pPr>
        <w:pStyle w:val="Heading1"/>
      </w:pPr>
      <w:r>
        <w:rPr>
          <w:color w:val="2C3E50"/>
          <w:sz w:val="36"/>
        </w:rPr>
        <w:t>一、数据获取与治理 (任务一)</w:t>
      </w:r>
    </w:p>
    <w:p>
      <w:pPr>
        <w:pStyle w:val="Heading2"/>
      </w:pPr>
      <w:r>
        <w:rPr>
          <w:color w:val="2980B9"/>
          <w:sz w:val="28"/>
        </w:rPr>
        <w:t>1.1 数据获取</w:t>
      </w:r>
    </w:p>
    <w:p>
      <w:r>
        <w:rPr>
          <w:b w:val="0"/>
          <w:sz w:val="22"/>
        </w:rPr>
        <w:t>从15个国际公开平台下载95个原始医疗数据文件，总容量约1.5GB：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数据集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样本量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关键特征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CDC BRFSS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糖尿病行为风险指标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253,680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年龄/BMI/血压/吸烟/运动/饮食/教育/收入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CDC BRFSS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心脏病行为风险指标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253,680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同上结构，目标为心脏病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Kaggle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心血管疾病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70,000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实测身高/体重/收缩压/舒张压/胆固醇/血糖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UCI/Kaggle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Pima糖尿病/中风预测/心脏病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6,903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血糖/胰岛素/心电图/胸痛/心率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WHO GHO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全球卫生统计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290,893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BMI/血糖/血压/胆固醇/预期寿命/死亡率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NCD-RisC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全球慢病趋势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500,000+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200+国家 BMI/血压/胆固醇/糖尿病 (1975-2024)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OWID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COVID-19全球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591,522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确诊/死亡/住院/ICU/疫苗接种时序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CHARLS 2020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中国健康与养老 (安徽)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203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15种慢性病+ADL+CES-D+COVID+人口学</w:t>
            </w:r>
          </w:p>
        </w:tc>
      </w:tr>
    </w:tbl>
    <w:p/>
    <w:p>
      <w:pPr>
        <w:pStyle w:val="Heading2"/>
      </w:pPr>
      <w:r>
        <w:rPr>
          <w:color w:val="2980B9"/>
          <w:sz w:val="28"/>
        </w:rPr>
        <w:t>1.2 数据清洗</w:t>
      </w:r>
    </w:p>
    <w:p>
      <w:r>
        <w:rPr>
          <w:b w:val="0"/>
          <w:sz w:val="22"/>
        </w:rPr>
        <w:t>95个文件逐一处理: 缺失值 (阈值40%删除+MICE/KNN/中位数) → IQR异常值截尾 → 分类编码 → Z-Score标准化。特殊处理: 分号分隔符/Cardio、SAS XPT/CDC、多编码适配。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处理前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处理后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缺失率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部分列100%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异常值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遍布各数据集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IQR截尾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量纲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混合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Z-Score统一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文件格式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CSV/XPT/JSON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统一Parquet</w:t>
            </w:r>
          </w:p>
        </w:tc>
      </w:tr>
    </w:tbl>
    <w:p/>
    <w:p>
      <w:pPr>
        <w:pStyle w:val="Heading2"/>
      </w:pPr>
      <w:r>
        <w:rPr>
          <w:color w:val="2980B9"/>
          <w:sz w:val="28"/>
        </w:rPr>
        <w:t>1.3 隐私保护</w:t>
      </w:r>
    </w:p>
    <w:p>
      <w:r>
        <w:rPr>
          <w:b w:val="0"/>
          <w:sz w:val="22"/>
        </w:rPr>
        <w:t>三层防护: SHA-256哈希脱敏 (758+列不可逆) + 差分隐私 (Laplace, epsilon=1.0) + K-匿名 (K&gt;=5, 年龄泛化)。处理63文件, 55成功 (87.3%)。</w:t>
      </w:r>
    </w:p>
    <w:p>
      <w:r>
        <w:br w:type="page"/>
      </w:r>
    </w:p>
    <w:p>
      <w:pPr>
        <w:pStyle w:val="Heading1"/>
      </w:pPr>
      <w:r>
        <w:rPr>
          <w:color w:val="2C3E50"/>
          <w:sz w:val="36"/>
        </w:rPr>
        <w:t>二、健康风险评估与趋势预测 (任务二)</w:t>
      </w:r>
    </w:p>
    <w:p>
      <w:pPr>
        <w:pStyle w:val="Heading2"/>
      </w:pPr>
      <w:r>
        <w:rPr>
          <w:color w:val="2980B9"/>
          <w:sz w:val="28"/>
        </w:rPr>
        <w:t>2.1 PCA vs 原始特征 — 关键发现</w:t>
      </w:r>
    </w:p>
    <w:p>
      <w:r>
        <w:rPr>
          <w:b w:val="0"/>
          <w:sz w:val="22"/>
        </w:rPr>
        <w:t>V1(PCA融合) AUC=0.998虚高，原因：6源堆叠导致数据来源信息泄露至PC主成分。V2(原始特征) AUC=0.80-0.85真实可信，且SHAP完全可读。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V1 PCA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V2 原始特征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AUC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0.998虚高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0.80-0.85真实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V2可信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特征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PC1,PC2抽象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GenHlth,BMI,Age可读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V2可解释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SHAP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PC9=2.27无意义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收缩压=0.868有临床意义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V2可操作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训练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24.7秒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1.5秒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V2快16倍</w:t>
            </w:r>
          </w:p>
        </w:tc>
      </w:tr>
    </w:tbl>
    <w:p/>
    <w:p>
      <w:pPr>
        <w:pStyle w:val="Heading2"/>
      </w:pPr>
      <w:r>
        <w:rPr>
          <w:color w:val="2980B9"/>
          <w:sz w:val="28"/>
        </w:rPr>
        <w:t>2.2 慢性病风险模型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9"/>
              </w:rPr>
              <w:t>数据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9"/>
              </w:rPr>
              <w:t>AUC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9"/>
              </w:rPr>
              <w:t>F1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9"/>
              </w:rPr>
              <w:t>Top-3 SHAP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XGBoost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BRFSS糖尿病 253K人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0.828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0.253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GenHlth &gt; HighBP &gt; BMI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XGBoost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BRFSS心脏病 253K人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0.851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0.166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Age &gt; GenHlth &gt; HighBP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LightGBM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Cardiovascular 70K人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0.801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0.724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ap_hi(收缩压=0.868!) &gt; age &gt; cholesterol</w:t>
            </w:r>
          </w:p>
        </w:tc>
      </w:tr>
    </w:tbl>
    <w:p/>
    <w:p>
      <w:r>
        <w:rPr>
          <w:b w:val="0"/>
          <w:sz w:val="22"/>
        </w:rPr>
        <w:t>核心发现: 收缩压是心血管病最强大预测因子 (SHAP=0.868)，与Framingham经典结论一致。BRFSS 21项问卷可用于大规模无创筛查。</w:t>
      </w:r>
    </w:p>
    <w:p>
      <w:pPr>
        <w:pStyle w:val="Heading2"/>
      </w:pPr>
      <w:r>
        <w:rPr>
          <w:color w:val="2980B9"/>
          <w:sz w:val="28"/>
        </w:rPr>
        <w:t>2.3 趋势预测与资源评估</w:t>
      </w:r>
    </w:p>
    <w:p>
      <w:r>
        <w:rPr>
          <w:b w:val="0"/>
          <w:sz w:val="22"/>
        </w:rPr>
        <w:t>OWID中国COVID-19 (11,630天): 移动平均外推12月趋势, CUSUM检测10,507异常点, 2022末-2023初关键异常。Healthcare Ops确认为合成数据, M/M/c排队论框架就绪待真实数据。</w:t>
      </w:r>
    </w:p>
    <w:p>
      <w:r>
        <w:br w:type="page"/>
      </w:r>
    </w:p>
    <w:p>
      <w:pPr>
        <w:pStyle w:val="Heading1"/>
      </w:pPr>
      <w:r>
        <w:rPr>
          <w:color w:val="2C3E50"/>
          <w:sz w:val="36"/>
        </w:rPr>
        <w:t>三、可视化与决策支持 (任务三)</w:t>
      </w:r>
    </w:p>
    <w:p>
      <w:r>
        <w:rPr>
          <w:b w:val="0"/>
          <w:sz w:val="22"/>
        </w:rPr>
        <w:t>双版本: Dash Web应用 (dashboard_app.py, 5标签页) + 独立HTML (17KB, 零依赖)。报告: Markdown+PDF双格式一键导出。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标签页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数据来源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模型性能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AUC/F1柱状图+评估表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任务二 V2建模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风险因素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SHAP特征重要性+仪表盘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SHAP分析 (收缩压#1)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趋势预测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趋势曲线+95%CI+分解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OWID中国COVID-19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安徽区域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CHARLS数据+28省风险图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CHARLS 2020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资源评估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M/M/c利用率+饼图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排队论模型</w:t>
            </w:r>
          </w:p>
        </w:tc>
      </w:tr>
    </w:tbl>
    <w:p/>
    <w:p>
      <w:pPr>
        <w:pStyle w:val="Heading1"/>
      </w:pPr>
      <w:r>
        <w:rPr>
          <w:color w:val="2C3E50"/>
          <w:sz w:val="36"/>
        </w:rPr>
        <w:t>四、安徽省数据整合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来源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CHARLS 2020 (北京大学)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受访者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203人 (45+岁)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覆盖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218村居 (代码34=安徽省)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慢性病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15种: 高血压32%/血脂异常/糖尿病/心脏病/中风/癌症等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功能评估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ADL+IADL+CES-D抑郁+认知测试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待获取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Biomarkers模块: 实测血压/BMI/血检/握力/肺功能</w:t>
            </w:r>
          </w:p>
        </w:tc>
      </w:tr>
    </w:tbl>
    <w:p/>
    <w:p>
      <w:pPr>
        <w:pStyle w:val="Heading1"/>
      </w:pPr>
      <w:r>
        <w:rPr>
          <w:color w:val="2C3E50"/>
          <w:sz w:val="36"/>
        </w:rPr>
        <w:t>五、合规声明</w:t>
      </w:r>
    </w:p>
    <w:p>
      <w:pPr>
        <w:spacing w:before="60" w:after="60"/>
        <w:ind w:left="454"/>
      </w:pPr>
      <w:r>
        <w:rPr>
          <w:sz w:val="20"/>
        </w:rPr>
        <w:t>所有数据来自国际公开脱敏平台 (WHO/CDC/Kaggle/UCI/NCD-RisC/OWID/CHARLS)</w:t>
      </w:r>
    </w:p>
    <w:p>
      <w:pPr>
        <w:spacing w:before="60" w:after="60"/>
        <w:ind w:left="454"/>
      </w:pPr>
      <w:r>
        <w:rPr>
          <w:sz w:val="20"/>
        </w:rPr>
        <w:t>SHA-256哈希脱敏 + 差分隐私 (epsilon=1.0) + K-匿名 (K&gt;=5)</w:t>
      </w:r>
    </w:p>
    <w:p>
      <w:pPr>
        <w:spacing w:before="60" w:after="60"/>
        <w:ind w:left="454"/>
      </w:pPr>
      <w:r>
        <w:rPr>
          <w:sz w:val="20"/>
        </w:rPr>
        <w:t>遵循《数据安全法》《个人信息保护法》及医疗数据伦理规范</w:t>
      </w:r>
    </w:p>
    <w:p>
      <w:pPr>
        <w:spacing w:before="60" w:after="60"/>
        <w:ind w:left="454"/>
      </w:pPr>
      <w:r>
        <w:rPr>
          <w:sz w:val="20"/>
        </w:rPr>
        <w:t>模型输出仅供科研参考，不构成临床诊断</w:t>
      </w:r>
    </w:p>
    <w:p>
      <w:r>
        <w:br w:type="page"/>
      </w:r>
    </w:p>
    <w:p>
      <w:pPr>
        <w:pStyle w:val="Heading1"/>
      </w:pPr>
      <w:r>
        <w:rPr>
          <w:color w:val="2C3E50"/>
          <w:sz w:val="36"/>
        </w:rPr>
        <w:t>六、交付物清单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报告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项目完整报告.docx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本文档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源代码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src/ (10核心脚本)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数据/建模/趋势/面板/报告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模型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outputs/models/ (7.pkl)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训练完成的预测模型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outputs/figures/ (12.png)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SHAP/ROC/Trend/CUSUM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面板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dashboard/index.html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独立HTML交互式仪表板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报告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outputs/report/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PDF+MD+DOCX多格式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配置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requirements.txt + README.md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环境+运行说明</w:t>
            </w:r>
          </w:p>
        </w:tc>
      </w:tr>
    </w:tbl>
    <w:p/>
    <w:p>
      <w:r>
        <w:rPr>
          <w:b w:val="0"/>
          <w:sz w:val="22"/>
        </w:rPr>
      </w:r>
    </w:p>
    <w:p>
      <w:pPr>
        <w:jc w:val="center"/>
      </w:pPr>
      <w:r>
        <w:rPr>
          <w:b/>
          <w:color w:val="27AE60"/>
          <w:sz w:val="28"/>
        </w:rPr>
        <w:t>—— 报告完 ——</w:t>
      </w:r>
    </w:p>
    <w:p>
      <w:pPr>
        <w:jc w:val="center"/>
      </w:pPr>
      <w:r>
        <w:rPr>
          <w:b w:val="0"/>
          <w:color w:val="999999"/>
          <w:sz w:val="20"/>
        </w:rPr>
        <w:t>2026-07-11 22:31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