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GSN in Real Life: Cooperative, Market and Business Network Copy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t>How to Use This Document</w:t>
      </w:r>
    </w:p>
    <w:p>
      <w:r>
        <w:t>For cooperatives, traders, market associations, seller groups and local enterprise networks.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t>Capability Modules</w:t>
      </w:r>
    </w:p>
    <w:p>
      <w:pPr>
        <w:pStyle w:val="Heading1"/>
      </w:pPr>
      <w: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t>40.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t>41.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