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GSN in Real Life: Family, Diaspora and Association Copy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t>How to Use This Document</w:t>
      </w:r>
    </w:p>
    <w:p>
      <w:r>
        <w:t>For families, diaspora groups, town unions, clans, alumni circles and member associations.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t>Capability Modules</w:t>
      </w:r>
    </w:p>
    <w:p>
      <w:pPr>
        <w:pStyle w:val="Heading1"/>
      </w:pPr>
      <w: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t>40.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t>41.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