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
        <w:spacing w:before="0" w:after="0"/>
      </w:pPr>
      <w:r>
        <w:rPr>
          <w:rFonts w:ascii="Calibri" w:hAnsi="Calibri"/>
          <w:b/>
          <w:color w:val="A67C00"/>
        </w:rPr>
        <w:t>Customer Enablement Pack</w:t>
      </w:r>
    </w:p>
    <w:p>
      <w:pPr>
        <w:pStyle w:val="Title"/>
      </w:pPr>
      <w:r>
        <w:rPr>
          <w:rFonts w:ascii="Calibri" w:hAnsi="Calibri"/>
        </w:rPr>
        <w:t>GSN For ICA Aberdeen</w:t>
      </w:r>
    </w:p>
    <w:p>
      <w:pPr>
        <w:pStyle w:val="Subtitle"/>
      </w:pPr>
      <w:r>
        <w:rPr>
          <w:rFonts w:ascii="Calibri" w:hAnsi="Calibri"/>
        </w:rPr>
        <w:t>A concise leave-behind for testing four association pain stories and one practical first workflow.</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1900"/>
        <w:gridCol w:w="7460"/>
      </w:tblGrid>
      <w:tr>
        <w:tc>
          <w:tcPr>
            <w:tcW w:w="1900" w:type="dxa"/>
            <w:shd w:fill="FFFFFF"/>
            <w:tcMar>
              <w:top w:w="100" w:type="dxa"/>
              <w:start w:w="140" w:type="dxa"/>
              <w:bottom w:w="100" w:type="dxa"/>
              <w:end w:w="140" w:type="dxa"/>
            </w:tcMar>
          </w:tcPr>
          <w:p>
            <w:pPr>
              <w:pStyle w:val="TableText"/>
            </w:pPr>
            <w:r>
              <w:rPr>
                <w:rFonts w:ascii="Calibri" w:hAnsi="Calibri"/>
              </w:rPr>
              <w:t>Prepared for</w:t>
            </w:r>
          </w:p>
        </w:tc>
        <w:tc>
          <w:tcPr>
            <w:tcW w:w="7460" w:type="dxa"/>
            <w:shd w:fill="FFFFFF"/>
            <w:tcMar>
              <w:top w:w="100" w:type="dxa"/>
              <w:start w:w="140" w:type="dxa"/>
              <w:bottom w:w="100" w:type="dxa"/>
              <w:end w:w="140" w:type="dxa"/>
            </w:tcMar>
          </w:tcPr>
          <w:p>
            <w:pPr>
              <w:pStyle w:val="TableText"/>
            </w:pPr>
            <w:r>
              <w:rPr>
                <w:rFonts w:ascii="Calibri" w:hAnsi="Calibri"/>
              </w:rPr>
              <w:t>Igbo Cultural Association in Aberdeen (ICA)</w:t>
            </w:r>
          </w:p>
        </w:tc>
      </w:tr>
      <w:tr>
        <w:tc>
          <w:tcPr>
            <w:tcW w:w="1900" w:type="dxa"/>
            <w:shd w:fill="FFFFFF"/>
            <w:tcMar>
              <w:top w:w="100" w:type="dxa"/>
              <w:start w:w="140" w:type="dxa"/>
              <w:bottom w:w="100" w:type="dxa"/>
              <w:end w:w="140" w:type="dxa"/>
            </w:tcMar>
          </w:tcPr>
          <w:p>
            <w:pPr>
              <w:pStyle w:val="TableText"/>
            </w:pPr>
            <w:r>
              <w:rPr>
                <w:rFonts w:ascii="Calibri" w:hAnsi="Calibri"/>
              </w:rPr>
              <w:t>Prepared by</w:t>
            </w:r>
          </w:p>
        </w:tc>
        <w:tc>
          <w:tcPr>
            <w:tcW w:w="7460" w:type="dxa"/>
            <w:shd w:fill="FFFFFF"/>
            <w:tcMar>
              <w:top w:w="100" w:type="dxa"/>
              <w:start w:w="140" w:type="dxa"/>
              <w:bottom w:w="100" w:type="dxa"/>
              <w:end w:w="140" w:type="dxa"/>
            </w:tcMar>
          </w:tcPr>
          <w:p>
            <w:pPr>
              <w:pStyle w:val="TableText"/>
            </w:pPr>
            <w:r>
              <w:rPr>
                <w:rFonts w:ascii="Calibri" w:hAnsi="Calibri"/>
              </w:rPr>
              <w:t>Chuma Nwafor</w:t>
            </w:r>
          </w:p>
        </w:tc>
      </w:tr>
      <w:tr>
        <w:tc>
          <w:tcPr>
            <w:tcW w:w="1900" w:type="dxa"/>
            <w:shd w:fill="FFFFFF"/>
            <w:tcMar>
              <w:top w:w="100" w:type="dxa"/>
              <w:start w:w="140" w:type="dxa"/>
              <w:bottom w:w="100" w:type="dxa"/>
              <w:end w:w="140" w:type="dxa"/>
            </w:tcMar>
          </w:tcPr>
          <w:p>
            <w:pPr>
              <w:pStyle w:val="TableText"/>
            </w:pPr>
            <w:r>
              <w:rPr>
                <w:rFonts w:ascii="Calibri" w:hAnsi="Calibri"/>
              </w:rPr>
              <w:t>Date</w:t>
            </w:r>
          </w:p>
        </w:tc>
        <w:tc>
          <w:tcPr>
            <w:tcW w:w="7460" w:type="dxa"/>
            <w:shd w:fill="FFFFFF"/>
            <w:tcMar>
              <w:top w:w="100" w:type="dxa"/>
              <w:start w:w="140" w:type="dxa"/>
              <w:bottom w:w="100" w:type="dxa"/>
              <w:end w:w="140" w:type="dxa"/>
            </w:tcMar>
          </w:tcPr>
          <w:p>
            <w:pPr>
              <w:pStyle w:val="TableText"/>
            </w:pPr>
            <w:r>
              <w:rPr>
                <w:rFonts w:ascii="Calibri" w:hAnsi="Calibri"/>
              </w:rPr>
              <w:t>2026-08-27</w:t>
            </w:r>
          </w:p>
        </w:tc>
      </w:tr>
      <w:tr>
        <w:tc>
          <w:tcPr>
            <w:tcW w:w="1900" w:type="dxa"/>
            <w:shd w:fill="FFFFFF"/>
            <w:tcMar>
              <w:top w:w="100" w:type="dxa"/>
              <w:start w:w="140" w:type="dxa"/>
              <w:bottom w:w="100" w:type="dxa"/>
              <w:end w:w="140" w:type="dxa"/>
            </w:tcMar>
          </w:tcPr>
          <w:p>
            <w:pPr>
              <w:pStyle w:val="TableText"/>
            </w:pPr>
            <w:r>
              <w:rPr>
                <w:rFonts w:ascii="Calibri" w:hAnsi="Calibri"/>
              </w:rPr>
              <w:t>Purpose</w:t>
            </w:r>
          </w:p>
        </w:tc>
        <w:tc>
          <w:tcPr>
            <w:tcW w:w="7460" w:type="dxa"/>
            <w:shd w:fill="FFFFFF"/>
            <w:tcMar>
              <w:top w:w="100" w:type="dxa"/>
              <w:start w:w="140" w:type="dxa"/>
              <w:bottom w:w="100" w:type="dxa"/>
              <w:end w:w="140" w:type="dxa"/>
            </w:tcMar>
          </w:tcPr>
          <w:p>
            <w:pPr>
              <w:pStyle w:val="TableText"/>
            </w:pPr>
            <w:r>
              <w:rPr>
                <w:rFonts w:ascii="Calibri" w:hAnsi="Calibri"/>
              </w:rPr>
              <w:t>Give ICA leaders and members a readable way to judge whether GSN solves a real association problem.</w:t>
            </w:r>
          </w:p>
        </w:tc>
      </w:tr>
    </w:tbl>
    <w:p>
      <w:pPr>
        <w:pStyle w:val="Body"/>
        <w:spacing w:before="0" w:after="90"/>
      </w:pPr>
      <w:r>
        <w:rPr>
          <w:rFonts w:ascii="Calibri" w:hAnsi="Calibri"/>
        </w:rPr>
        <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4F6F9"/>
            <w:tcMar>
              <w:top w:w="100" w:type="dxa"/>
              <w:start w:w="140" w:type="dxa"/>
              <w:bottom w:w="100" w:type="dxa"/>
              <w:end w:w="140" w:type="dxa"/>
            </w:tcMar>
          </w:tcPr>
          <w:p>
            <w:pPr>
              <w:pStyle w:val="CalloutLabel"/>
            </w:pPr>
            <w:r>
              <w:rPr>
                <w:rFonts w:ascii="Calibri" w:hAnsi="Calibri"/>
              </w:rPr>
              <w:t>The honest positioning</w:t>
            </w:r>
          </w:p>
          <w:p>
            <w:pPr>
              <w:pStyle w:val="CalloutBody"/>
            </w:pPr>
            <w:r>
              <w:rPr>
                <w:rFonts w:ascii="Calibri" w:hAnsi="Calibri"/>
              </w:rPr>
              <w:t>GSN is not another WhatsApp group. It is a governed community operating layer for selected records, evidence, verification, support, opportunity, and memory. WhatsApp can remain a daily conversation channel.</w:t>
            </w:r>
          </w:p>
        </w:tc>
      </w:tr>
    </w:tbl>
    <w:p>
      <w:pPr>
        <w:pStyle w:val="Body"/>
        <w:spacing w:before="0" w:after="90"/>
      </w:pPr>
      <w:r>
        <w:rPr>
          <w:rFonts w:ascii="Calibri" w:hAnsi="Calibri"/>
        </w:rPr>
        <w:t/>
      </w:r>
    </w:p>
    <w:p>
      <w:pPr>
        <w:pStyle w:val="Heading1"/>
        <w:keepNext/>
      </w:pPr>
      <w:r>
        <w:rPr>
          <w:rFonts w:ascii="Calibri" w:hAnsi="Calibri"/>
          <w:b/>
          <w:color w:val="2E74B5"/>
          <w:sz w:val="32"/>
          <w:szCs w:val="32"/>
        </w:rPr>
        <w:t>1. What We Are Testing</w:t>
      </w:r>
    </w:p>
    <w:p>
      <w:pPr>
        <w:pStyle w:val="Body"/>
      </w:pPr>
      <w:r>
        <w:rPr>
          <w:rFonts w:ascii="Calibri" w:hAnsi="Calibri"/>
        </w:rPr>
        <w:t>ICA is the worked example. The same pattern should fit churches, schools, professional bodies, alumni groups, charities, NGOs, welfare groups, project committees, local branches, and cultural associations.</w:t>
      </w:r>
    </w:p>
    <w:p>
      <w:pPr>
        <w:pStyle w:val="Body"/>
      </w:pPr>
      <w:r>
        <w:rPr>
          <w:rFonts w:ascii="Calibri" w:hAnsi="Calibri"/>
        </w:rPr>
        <w:t>The meeting should not try to prove every GSN feature. It should identify which association pain is strongest and whether one small GSN workflow is worth testing first.</w:t>
      </w:r>
    </w:p>
    <w:p>
      <w:pPr>
        <w:pStyle w:val="Body"/>
        <w:numPr>
          <w:ilvl w:val="0"/>
          <w:numId w:val="1"/>
        </w:numPr>
        <w:spacing w:after="80" w:line="300" w:lineRule="auto"/>
      </w:pPr>
      <w:r>
        <w:rPr>
          <w:rFonts w:ascii="Calibri" w:hAnsi="Calibri"/>
        </w:rPr>
        <w:t>What association work is painful today?</w:t>
      </w:r>
    </w:p>
    <w:p>
      <w:pPr>
        <w:pStyle w:val="Body"/>
        <w:numPr>
          <w:ilvl w:val="0"/>
          <w:numId w:val="1"/>
        </w:numPr>
        <w:spacing w:after="80" w:line="300" w:lineRule="auto"/>
      </w:pPr>
      <w:r>
        <w:rPr>
          <w:rFonts w:ascii="Calibri" w:hAnsi="Calibri"/>
        </w:rPr>
        <w:t>Where does the evidence live now: WhatsApp, paper, spreadsheets, bank notes, memory, or officer files?</w:t>
      </w:r>
    </w:p>
    <w:p>
      <w:pPr>
        <w:pStyle w:val="Body"/>
        <w:numPr>
          <w:ilvl w:val="0"/>
          <w:numId w:val="1"/>
        </w:numPr>
        <w:spacing w:after="80" w:line="300" w:lineRule="auto"/>
      </w:pPr>
      <w:r>
        <w:rPr>
          <w:rFonts w:ascii="Calibri" w:hAnsi="Calibri"/>
        </w:rPr>
        <w:t>Who has authority to confirm the record?</w:t>
      </w:r>
    </w:p>
    <w:p>
      <w:pPr>
        <w:pStyle w:val="Body"/>
        <w:numPr>
          <w:ilvl w:val="0"/>
          <w:numId w:val="1"/>
        </w:numPr>
        <w:spacing w:after="80" w:line="300" w:lineRule="auto"/>
      </w:pPr>
      <w:r>
        <w:rPr>
          <w:rFonts w:ascii="Calibri" w:hAnsi="Calibri"/>
        </w:rPr>
        <w:t>What must stay private?</w:t>
      </w:r>
    </w:p>
    <w:p>
      <w:pPr>
        <w:pStyle w:val="Body"/>
        <w:numPr>
          <w:ilvl w:val="0"/>
          <w:numId w:val="1"/>
        </w:numPr>
        <w:spacing w:after="80" w:line="300" w:lineRule="auto"/>
      </w:pPr>
      <w:r>
        <w:rPr>
          <w:rFonts w:ascii="Calibri" w:hAnsi="Calibri"/>
        </w:rPr>
        <w:t>What small workflow would ICA actually test for 30 days?</w:t>
      </w:r>
    </w:p>
    <w:p>
      <w:pPr>
        <w:pStyle w:val="Heading1"/>
        <w:keepNext/>
      </w:pPr>
      <w:r>
        <w:rPr>
          <w:rFonts w:ascii="Calibri" w:hAnsi="Calibri"/>
          <w:b/>
          <w:color w:val="2E74B5"/>
          <w:sz w:val="32"/>
          <w:szCs w:val="32"/>
        </w:rPr>
        <w:t>2. The Four Association Stories</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2300"/>
        <w:gridCol w:w="3500"/>
        <w:gridCol w:w="3560"/>
      </w:tblGrid>
      <w:tr>
        <w:trPr>
          <w:tblHeader/>
        </w:trPr>
        <w:tc>
          <w:tcPr>
            <w:tcW w:w="2300" w:type="dxa"/>
            <w:shd w:fill="E8EEF5"/>
            <w:tcMar>
              <w:top w:w="100" w:type="dxa"/>
              <w:start w:w="140" w:type="dxa"/>
              <w:bottom w:w="100" w:type="dxa"/>
              <w:end w:w="140" w:type="dxa"/>
            </w:tcMar>
          </w:tcPr>
          <w:p>
            <w:pPr>
              <w:pStyle w:val="TableText"/>
            </w:pPr>
            <w:r>
              <w:rPr>
                <w:rFonts w:ascii="Calibri" w:hAnsi="Calibri"/>
                <w:b/>
              </w:rPr>
              <w:t>Story</w:t>
            </w:r>
          </w:p>
        </w:tc>
        <w:tc>
          <w:tcPr>
            <w:tcW w:w="3500" w:type="dxa"/>
            <w:shd w:fill="E8EEF5"/>
            <w:tcMar>
              <w:top w:w="100" w:type="dxa"/>
              <w:start w:w="140" w:type="dxa"/>
              <w:bottom w:w="100" w:type="dxa"/>
              <w:end w:w="140" w:type="dxa"/>
            </w:tcMar>
          </w:tcPr>
          <w:p>
            <w:pPr>
              <w:pStyle w:val="TableText"/>
            </w:pPr>
            <w:r>
              <w:rPr>
                <w:rFonts w:ascii="Calibri" w:hAnsi="Calibri"/>
                <w:b/>
              </w:rPr>
              <w:t>Pain</w:t>
            </w:r>
          </w:p>
        </w:tc>
        <w:tc>
          <w:tcPr>
            <w:tcW w:w="3560" w:type="dxa"/>
            <w:shd w:fill="E8EEF5"/>
            <w:tcMar>
              <w:top w:w="100" w:type="dxa"/>
              <w:start w:w="140" w:type="dxa"/>
              <w:bottom w:w="100" w:type="dxa"/>
              <w:end w:w="140" w:type="dxa"/>
            </w:tcMar>
          </w:tcPr>
          <w:p>
            <w:pPr>
              <w:pStyle w:val="TableText"/>
            </w:pPr>
            <w:r>
              <w:rPr>
                <w:rFonts w:ascii="Calibri" w:hAnsi="Calibri"/>
                <w:b/>
              </w:rPr>
              <w:t>GSN value to test</w:t>
            </w:r>
          </w:p>
        </w:tc>
      </w:tr>
      <w:tr>
        <w:tc>
          <w:tcPr>
            <w:tcW w:w="2300" w:type="dxa"/>
            <w:shd w:fill="FFFFFF"/>
            <w:tcMar>
              <w:top w:w="100" w:type="dxa"/>
              <w:start w:w="140" w:type="dxa"/>
              <w:bottom w:w="100" w:type="dxa"/>
              <w:end w:w="140" w:type="dxa"/>
            </w:tcMar>
          </w:tcPr>
          <w:p>
            <w:pPr>
              <w:pStyle w:val="TableText"/>
            </w:pPr>
            <w:r>
              <w:rPr>
                <w:rFonts w:ascii="Calibri" w:hAnsi="Calibri"/>
              </w:rPr>
              <w:t>1. Administrative pain</w:t>
            </w:r>
          </w:p>
        </w:tc>
        <w:tc>
          <w:tcPr>
            <w:tcW w:w="3500" w:type="dxa"/>
            <w:shd w:fill="FFFFFF"/>
            <w:tcMar>
              <w:top w:w="100" w:type="dxa"/>
              <w:start w:w="140" w:type="dxa"/>
              <w:bottom w:w="100" w:type="dxa"/>
              <w:end w:w="140" w:type="dxa"/>
            </w:tcMar>
          </w:tcPr>
          <w:p>
            <w:pPr>
              <w:pStyle w:val="TableText"/>
            </w:pPr>
            <w:r>
              <w:rPr>
                <w:rFonts w:ascii="Calibri" w:hAnsi="Calibri"/>
              </w:rPr>
              <w:t>Meetings, notices, responses, attendance, decisions, actions, and leadership handover are scattered.</w:t>
            </w:r>
          </w:p>
        </w:tc>
        <w:tc>
          <w:tcPr>
            <w:tcW w:w="3560" w:type="dxa"/>
            <w:shd w:fill="FFFFFF"/>
            <w:tcMar>
              <w:top w:w="100" w:type="dxa"/>
              <w:start w:w="140" w:type="dxa"/>
              <w:bottom w:w="100" w:type="dxa"/>
              <w:end w:w="140" w:type="dxa"/>
            </w:tcMar>
          </w:tcPr>
          <w:p>
            <w:pPr>
              <w:pStyle w:val="TableText"/>
            </w:pPr>
            <w:r>
              <w:rPr>
                <w:rFonts w:ascii="Calibri" w:hAnsi="Calibri"/>
              </w:rPr>
              <w:t>Preserve the meeting lifecycle as governed association evidence.</w:t>
            </w:r>
          </w:p>
        </w:tc>
      </w:tr>
      <w:tr>
        <w:tc>
          <w:tcPr>
            <w:tcW w:w="2300" w:type="dxa"/>
            <w:shd w:fill="FFFFFF"/>
            <w:tcMar>
              <w:top w:w="100" w:type="dxa"/>
              <w:start w:w="140" w:type="dxa"/>
              <w:bottom w:w="100" w:type="dxa"/>
              <w:end w:w="140" w:type="dxa"/>
            </w:tcMar>
          </w:tcPr>
          <w:p>
            <w:pPr>
              <w:pStyle w:val="TableText"/>
            </w:pPr>
            <w:r>
              <w:rPr>
                <w:rFonts w:ascii="Calibri" w:hAnsi="Calibri"/>
              </w:rPr>
              <w:t>2. Verification pain</w:t>
            </w:r>
          </w:p>
        </w:tc>
        <w:tc>
          <w:tcPr>
            <w:tcW w:w="3500" w:type="dxa"/>
            <w:shd w:fill="FFFFFF"/>
            <w:tcMar>
              <w:top w:w="100" w:type="dxa"/>
              <w:start w:w="140" w:type="dxa"/>
              <w:bottom w:w="100" w:type="dxa"/>
              <w:end w:w="140" w:type="dxa"/>
            </w:tcMar>
          </w:tcPr>
          <w:p>
            <w:pPr>
              <w:pStyle w:val="TableText"/>
            </w:pPr>
            <w:r>
              <w:rPr>
                <w:rFonts w:ascii="Calibri" w:hAnsi="Calibri"/>
              </w:rPr>
              <w:t>Membership, references, committee checks, welfare support, movement, and trust claims depend on scattered memory.</w:t>
            </w:r>
          </w:p>
        </w:tc>
        <w:tc>
          <w:tcPr>
            <w:tcW w:w="3560" w:type="dxa"/>
            <w:shd w:fill="FFFFFF"/>
            <w:tcMar>
              <w:top w:w="100" w:type="dxa"/>
              <w:start w:w="140" w:type="dxa"/>
              <w:bottom w:w="100" w:type="dxa"/>
              <w:end w:w="140" w:type="dxa"/>
            </w:tcMar>
          </w:tcPr>
          <w:p>
            <w:pPr>
              <w:pStyle w:val="TableText"/>
            </w:pPr>
            <w:r>
              <w:rPr>
                <w:rFonts w:ascii="Calibri" w:hAnsi="Calibri"/>
              </w:rPr>
              <w:t>Show what the association has confirmed, with privacy and correction boundaries.</w:t>
            </w:r>
          </w:p>
        </w:tc>
      </w:tr>
      <w:tr>
        <w:tc>
          <w:tcPr>
            <w:tcW w:w="2300" w:type="dxa"/>
            <w:shd w:fill="FFFFFF"/>
            <w:tcMar>
              <w:top w:w="100" w:type="dxa"/>
              <w:start w:w="140" w:type="dxa"/>
              <w:bottom w:w="100" w:type="dxa"/>
              <w:end w:w="140" w:type="dxa"/>
            </w:tcMar>
          </w:tcPr>
          <w:p>
            <w:pPr>
              <w:pStyle w:val="TableText"/>
            </w:pPr>
            <w:r>
              <w:rPr>
                <w:rFonts w:ascii="Calibri" w:hAnsi="Calibri"/>
              </w:rPr>
              <w:t>3. Economic opportunity pain</w:t>
            </w:r>
          </w:p>
        </w:tc>
        <w:tc>
          <w:tcPr>
            <w:tcW w:w="3500" w:type="dxa"/>
            <w:shd w:fill="FFFFFF"/>
            <w:tcMar>
              <w:top w:w="100" w:type="dxa"/>
              <w:start w:w="140" w:type="dxa"/>
              <w:bottom w:w="100" w:type="dxa"/>
              <w:end w:w="140" w:type="dxa"/>
            </w:tcMar>
          </w:tcPr>
          <w:p>
            <w:pPr>
              <w:pStyle w:val="TableText"/>
            </w:pPr>
            <w:r>
              <w:rPr>
                <w:rFonts w:ascii="Calibri" w:hAnsi="Calibri"/>
              </w:rPr>
              <w:t>Member needs, shops, skills, referrals, jobs, supplier requests, and opportunities disappear too quickly.</w:t>
            </w:r>
          </w:p>
        </w:tc>
        <w:tc>
          <w:tcPr>
            <w:tcW w:w="3560" w:type="dxa"/>
            <w:shd w:fill="FFFFFF"/>
            <w:tcMar>
              <w:top w:w="100" w:type="dxa"/>
              <w:start w:w="140" w:type="dxa"/>
              <w:bottom w:w="100" w:type="dxa"/>
              <w:end w:w="140" w:type="dxa"/>
            </w:tcMar>
          </w:tcPr>
          <w:p>
            <w:pPr>
              <w:pStyle w:val="TableText"/>
            </w:pPr>
            <w:r>
              <w:rPr>
                <w:rFonts w:ascii="Calibri" w:hAnsi="Calibri"/>
              </w:rPr>
              <w:t>Connect demand, response, Spotlight, marketplace visibility, and follow-up inside the association context.</w:t>
            </w:r>
          </w:p>
        </w:tc>
      </w:tr>
      <w:tr>
        <w:tc>
          <w:tcPr>
            <w:tcW w:w="2300" w:type="dxa"/>
            <w:shd w:fill="FFFFFF"/>
            <w:tcMar>
              <w:top w:w="100" w:type="dxa"/>
              <w:start w:w="140" w:type="dxa"/>
              <w:bottom w:w="100" w:type="dxa"/>
              <w:end w:w="140" w:type="dxa"/>
            </w:tcMar>
          </w:tcPr>
          <w:p>
            <w:pPr>
              <w:pStyle w:val="TableText"/>
            </w:pPr>
            <w:r>
              <w:rPr>
                <w:rFonts w:ascii="Calibri" w:hAnsi="Calibri"/>
              </w:rPr>
              <w:t>4. Cultural continuity and memory</w:t>
            </w:r>
          </w:p>
        </w:tc>
        <w:tc>
          <w:tcPr>
            <w:tcW w:w="3500" w:type="dxa"/>
            <w:shd w:fill="FFFFFF"/>
            <w:tcMar>
              <w:top w:w="100" w:type="dxa"/>
              <w:start w:w="140" w:type="dxa"/>
              <w:bottom w:w="100" w:type="dxa"/>
              <w:end w:w="140" w:type="dxa"/>
            </w:tcMar>
          </w:tcPr>
          <w:p>
            <w:pPr>
              <w:pStyle w:val="TableText"/>
            </w:pPr>
            <w:r>
              <w:rPr>
                <w:rFonts w:ascii="Calibri" w:hAnsi="Calibri"/>
              </w:rPr>
              <w:t>Events, service, identity, handover knowledge, and community impact are easy to lose across phones and committees.</w:t>
            </w:r>
          </w:p>
        </w:tc>
        <w:tc>
          <w:tcPr>
            <w:tcW w:w="3560" w:type="dxa"/>
            <w:shd w:fill="FFFFFF"/>
            <w:tcMar>
              <w:top w:w="100" w:type="dxa"/>
              <w:start w:w="140" w:type="dxa"/>
              <w:bottom w:w="100" w:type="dxa"/>
              <w:end w:w="140" w:type="dxa"/>
            </w:tcMar>
          </w:tcPr>
          <w:p>
            <w:pPr>
              <w:pStyle w:val="TableText"/>
            </w:pPr>
            <w:r>
              <w:rPr>
                <w:rFonts w:ascii="Calibri" w:hAnsi="Calibri"/>
              </w:rPr>
              <w:t>Keep structured memory that can support reporting, grants, sponsors, AGMs, caseworkers, and future leaders.</w:t>
            </w:r>
          </w:p>
        </w:tc>
      </w:tr>
    </w:tbl>
    <w:p>
      <w:pPr>
        <w:pStyle w:val="Body"/>
        <w:spacing w:before="0" w:after="90"/>
      </w:pPr>
      <w:r>
        <w:rPr>
          <w:rFonts w:ascii="Calibri" w:hAnsi="Calibri"/>
        </w:rPr>
        <w:t/>
      </w:r>
    </w:p>
    <w:p>
      <w:pPr>
        <w:pStyle w:val="Heading2"/>
        <w:keepNext/>
      </w:pPr>
      <w:r>
        <w:rPr>
          <w:rFonts w:ascii="Calibri" w:hAnsi="Calibri"/>
          <w:b/>
          <w:color w:val="2E74B5"/>
          <w:sz w:val="26"/>
          <w:szCs w:val="26"/>
        </w:rPr>
        <w:t>Story 1: Administrative Pain</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FF8E8"/>
            <w:tcMar>
              <w:top w:w="100" w:type="dxa"/>
              <w:start w:w="140" w:type="dxa"/>
              <w:bottom w:w="100" w:type="dxa"/>
              <w:end w:w="140" w:type="dxa"/>
            </w:tcMar>
          </w:tcPr>
          <w:p>
            <w:pPr>
              <w:pStyle w:val="CalloutLabel"/>
            </w:pPr>
            <w:r>
              <w:rPr>
                <w:rFonts w:ascii="Calibri" w:hAnsi="Calibri"/>
              </w:rPr>
              <w:t>Workflow</w:t>
            </w:r>
          </w:p>
          <w:p>
            <w:pPr>
              <w:pStyle w:val="CalloutBody"/>
            </w:pPr>
            <w:r>
              <w:rPr>
                <w:rFonts w:ascii="Calibri" w:hAnsi="Calibri"/>
              </w:rPr>
              <w:t>Notice -&gt; purpose/agenda -&gt; Yes/Maybe/No response -&gt; attendance check-in -&gt; summary -&gt; decisions -&gt; action follow-up -&gt; association memory -&gt; monthly report count.</w:t>
            </w:r>
          </w:p>
        </w:tc>
      </w:tr>
    </w:tbl>
    <w:p>
      <w:pPr>
        <w:pStyle w:val="Body"/>
        <w:spacing w:before="0" w:after="90"/>
      </w:pPr>
      <w:r>
        <w:rPr>
          <w:rFonts w:ascii="Calibri" w:hAnsi="Calibri"/>
        </w:rPr>
        <w:t/>
      </w:r>
    </w:p>
    <w:p>
      <w:pPr>
        <w:pStyle w:val="Heading3"/>
        <w:keepNext/>
      </w:pPr>
      <w:r>
        <w:rPr>
          <w:rFonts w:ascii="Calibri" w:hAnsi="Calibri"/>
          <w:b/>
          <w:color w:val="1F4D78"/>
          <w:sz w:val="24"/>
          <w:szCs w:val="24"/>
        </w:rPr>
        <w:t>What It Should Contain</w:t>
      </w:r>
    </w:p>
    <w:p>
      <w:pPr>
        <w:pStyle w:val="Body"/>
        <w:numPr>
          <w:ilvl w:val="0"/>
          <w:numId w:val="1"/>
        </w:numPr>
        <w:spacing w:after="80" w:line="300" w:lineRule="auto"/>
      </w:pPr>
      <w:r>
        <w:rPr>
          <w:rFonts w:ascii="Calibri" w:hAnsi="Calibri"/>
        </w:rPr>
        <w:t>Meeting calls, agendas, dates, venues, links, and officer ownership.</w:t>
      </w:r>
    </w:p>
    <w:p>
      <w:pPr>
        <w:pStyle w:val="Body"/>
        <w:numPr>
          <w:ilvl w:val="0"/>
          <w:numId w:val="1"/>
        </w:numPr>
        <w:spacing w:after="80" w:line="300" w:lineRule="auto"/>
      </w:pPr>
      <w:r>
        <w:rPr>
          <w:rFonts w:ascii="Calibri" w:hAnsi="Calibri"/>
        </w:rPr>
        <w:t>Member responses before the meeting and attendance method counts.</w:t>
      </w:r>
    </w:p>
    <w:p>
      <w:pPr>
        <w:pStyle w:val="Body"/>
        <w:numPr>
          <w:ilvl w:val="0"/>
          <w:numId w:val="1"/>
        </w:numPr>
        <w:spacing w:after="80" w:line="300" w:lineRule="auto"/>
      </w:pPr>
      <w:r>
        <w:rPr>
          <w:rFonts w:ascii="Calibri" w:hAnsi="Calibri"/>
        </w:rPr>
        <w:t>Summaries, decisions, action owners, due dates, corrections, and handover notes.</w:t>
      </w:r>
    </w:p>
    <w:p>
      <w:pPr>
        <w:pStyle w:val="Heading3"/>
        <w:keepNext/>
      </w:pPr>
      <w:r>
        <w:rPr>
          <w:rFonts w:ascii="Calibri" w:hAnsi="Calibri"/>
          <w:b/>
          <w:color w:val="1F4D78"/>
          <w:sz w:val="24"/>
          <w:szCs w:val="24"/>
        </w:rPr>
        <w:t>Governance Fit</w:t>
      </w:r>
    </w:p>
    <w:p>
      <w:pPr>
        <w:pStyle w:val="Body"/>
      </w:pPr>
      <w:r>
        <w:rPr>
          <w:rFonts w:ascii="Calibri" w:hAnsi="Calibri"/>
        </w:rPr>
        <w:t>This belongs in Governance because it concerns official association acts: who called the meeting, who could see it, who attended, who recorded it, and what becomes permanent.</w:t>
      </w:r>
    </w:p>
    <w:p>
      <w:pPr>
        <w:pStyle w:val="Heading3"/>
        <w:keepNext/>
      </w:pPr>
      <w:r>
        <w:rPr>
          <w:rFonts w:ascii="Calibri" w:hAnsi="Calibri"/>
          <w:b/>
          <w:color w:val="1F4D78"/>
          <w:sz w:val="24"/>
          <w:szCs w:val="24"/>
        </w:rPr>
        <w:t>What Not To Overclaim</w:t>
      </w:r>
    </w:p>
    <w:p>
      <w:pPr>
        <w:pStyle w:val="Body"/>
      </w:pPr>
      <w:r>
        <w:rPr>
          <w:rFonts w:ascii="Calibri" w:hAnsi="Calibri"/>
          <w:i/>
        </w:rPr>
        <w:t>GSN should not turn every chat message into a minute, silently track members, or treat attendance as proof of contribution.</w:t>
      </w:r>
    </w:p>
    <w:p>
      <w:pPr>
        <w:pStyle w:val="Heading2"/>
        <w:keepNext/>
      </w:pPr>
      <w:r>
        <w:rPr>
          <w:rFonts w:ascii="Calibri" w:hAnsi="Calibri"/>
          <w:b/>
          <w:color w:val="2E74B5"/>
          <w:sz w:val="26"/>
          <w:szCs w:val="26"/>
        </w:rPr>
        <w:t>Story 2: Verification Pain</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FF8E8"/>
            <w:tcMar>
              <w:top w:w="100" w:type="dxa"/>
              <w:start w:w="140" w:type="dxa"/>
              <w:bottom w:w="100" w:type="dxa"/>
              <w:end w:w="140" w:type="dxa"/>
            </w:tcMar>
          </w:tcPr>
          <w:p>
            <w:pPr>
              <w:pStyle w:val="CalloutLabel"/>
            </w:pPr>
            <w:r>
              <w:rPr>
                <w:rFonts w:ascii="Calibri" w:hAnsi="Calibri"/>
              </w:rPr>
              <w:t>Workflow</w:t>
            </w:r>
          </w:p>
          <w:p>
            <w:pPr>
              <w:pStyle w:val="CalloutBody"/>
            </w:pPr>
            <w:r>
              <w:rPr>
                <w:rFonts w:ascii="Calibri" w:hAnsi="Calibri"/>
              </w:rPr>
              <w:t>Member request -&gt; association check -&gt; confirmed Trust Event -&gt; Trust Passport or TrustSlip -&gt; privacy-aware verification -&gt; monthly verification count.</w:t>
            </w:r>
          </w:p>
        </w:tc>
      </w:tr>
    </w:tbl>
    <w:p>
      <w:pPr>
        <w:pStyle w:val="Body"/>
        <w:spacing w:before="0" w:after="90"/>
      </w:pPr>
      <w:r>
        <w:rPr>
          <w:rFonts w:ascii="Calibri" w:hAnsi="Calibri"/>
        </w:rPr>
        <w:t/>
      </w:r>
    </w:p>
    <w:p>
      <w:pPr>
        <w:pStyle w:val="Heading3"/>
        <w:keepNext/>
      </w:pPr>
      <w:r>
        <w:rPr>
          <w:rFonts w:ascii="Calibri" w:hAnsi="Calibri"/>
          <w:b/>
          <w:color w:val="1F4D78"/>
          <w:sz w:val="24"/>
          <w:szCs w:val="24"/>
        </w:rPr>
        <w:t>What It Should Contain</w:t>
      </w:r>
    </w:p>
    <w:p>
      <w:pPr>
        <w:pStyle w:val="Body"/>
        <w:numPr>
          <w:ilvl w:val="0"/>
          <w:numId w:val="1"/>
        </w:numPr>
        <w:spacing w:after="80" w:line="300" w:lineRule="auto"/>
      </w:pPr>
      <w:r>
        <w:rPr>
          <w:rFonts w:ascii="Calibri" w:hAnsi="Calibri"/>
        </w:rPr>
        <w:t>Active membership status, committee/officer confirmation, and membership history where appropriate.</w:t>
      </w:r>
    </w:p>
    <w:p>
      <w:pPr>
        <w:pStyle w:val="Body"/>
        <w:numPr>
          <w:ilvl w:val="0"/>
          <w:numId w:val="1"/>
        </w:numPr>
        <w:spacing w:after="80" w:line="300" w:lineRule="auto"/>
      </w:pPr>
      <w:r>
        <w:rPr>
          <w:rFonts w:ascii="Calibri" w:hAnsi="Calibri"/>
        </w:rPr>
        <w:t>Contribution, service, attendance, responsibility, support, business, or professional-reference evidence.</w:t>
      </w:r>
    </w:p>
    <w:p>
      <w:pPr>
        <w:pStyle w:val="Body"/>
        <w:numPr>
          <w:ilvl w:val="0"/>
          <w:numId w:val="1"/>
        </w:numPr>
        <w:spacing w:after="80" w:line="300" w:lineRule="auto"/>
      </w:pPr>
      <w:r>
        <w:rPr>
          <w:rFonts w:ascii="Calibri" w:hAnsi="Calibri"/>
        </w:rPr>
        <w:t>Approved, pending, declined, corrected, disputed, or unresolved verification cases.</w:t>
      </w:r>
    </w:p>
    <w:p>
      <w:pPr>
        <w:pStyle w:val="Heading3"/>
        <w:keepNext/>
      </w:pPr>
      <w:r>
        <w:rPr>
          <w:rFonts w:ascii="Calibri" w:hAnsi="Calibri"/>
          <w:b/>
          <w:color w:val="1F4D78"/>
          <w:sz w:val="24"/>
          <w:szCs w:val="24"/>
        </w:rPr>
        <w:t>Governance Fit</w:t>
      </w:r>
    </w:p>
    <w:p>
      <w:pPr>
        <w:pStyle w:val="Body"/>
      </w:pPr>
      <w:r>
        <w:rPr>
          <w:rFonts w:ascii="Calibri" w:hAnsi="Calibri"/>
        </w:rPr>
        <w:t>This belongs in Governance because verification is an authority act. ICA must decide who can confirm what, for which purpose, and with what privacy boundary.</w:t>
      </w:r>
    </w:p>
    <w:p>
      <w:pPr>
        <w:pStyle w:val="Heading3"/>
        <w:keepNext/>
      </w:pPr>
      <w:r>
        <w:rPr>
          <w:rFonts w:ascii="Calibri" w:hAnsi="Calibri"/>
          <w:b/>
          <w:color w:val="1F4D78"/>
          <w:sz w:val="24"/>
          <w:szCs w:val="24"/>
        </w:rPr>
        <w:t>What Not To Overclaim</w:t>
      </w:r>
    </w:p>
    <w:p>
      <w:pPr>
        <w:pStyle w:val="Body"/>
      </w:pPr>
      <w:r>
        <w:rPr>
          <w:rFonts w:ascii="Calibri" w:hAnsi="Calibri"/>
          <w:i/>
        </w:rPr>
        <w:t>GSN should not create reputation scores, expose private welfare history, or let informal gossip become official proof.</w:t>
      </w:r>
    </w:p>
    <w:p>
      <w:pPr>
        <w:pStyle w:val="Heading2"/>
        <w:keepNext/>
      </w:pPr>
      <w:r>
        <w:rPr>
          <w:rFonts w:ascii="Calibri" w:hAnsi="Calibri"/>
          <w:b/>
          <w:color w:val="2E74B5"/>
          <w:sz w:val="26"/>
          <w:szCs w:val="26"/>
        </w:rPr>
        <w:t>Story 3: Economic Opportunity Pain</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FF8E8"/>
            <w:tcMar>
              <w:top w:w="100" w:type="dxa"/>
              <w:start w:w="140" w:type="dxa"/>
              <w:bottom w:w="100" w:type="dxa"/>
              <w:end w:w="140" w:type="dxa"/>
            </w:tcMar>
          </w:tcPr>
          <w:p>
            <w:pPr>
              <w:pStyle w:val="CalloutLabel"/>
            </w:pPr>
            <w:r>
              <w:rPr>
                <w:rFonts w:ascii="Calibri" w:hAnsi="Calibri"/>
              </w:rPr>
              <w:t>Workflow</w:t>
            </w:r>
          </w:p>
          <w:p>
            <w:pPr>
              <w:pStyle w:val="CalloutBody"/>
            </w:pPr>
            <w:r>
              <w:rPr>
                <w:rFonts w:ascii="Calibri" w:hAnsi="Calibri"/>
              </w:rPr>
              <w:t>Member need -&gt; Demand Box -&gt; trusted response -&gt; Spotlight or marketplace -&gt; follow-up status -&gt; useful opportunity record -&gt; monthly opportunity count.</w:t>
            </w:r>
          </w:p>
        </w:tc>
      </w:tr>
    </w:tbl>
    <w:p>
      <w:pPr>
        <w:pStyle w:val="Body"/>
        <w:spacing w:before="0" w:after="90"/>
      </w:pPr>
      <w:r>
        <w:rPr>
          <w:rFonts w:ascii="Calibri" w:hAnsi="Calibri"/>
        </w:rPr>
        <w:t/>
      </w:r>
    </w:p>
    <w:p>
      <w:pPr>
        <w:pStyle w:val="Heading3"/>
        <w:keepNext/>
      </w:pPr>
      <w:r>
        <w:rPr>
          <w:rFonts w:ascii="Calibri" w:hAnsi="Calibri"/>
          <w:b/>
          <w:color w:val="1F4D78"/>
          <w:sz w:val="24"/>
          <w:szCs w:val="24"/>
        </w:rPr>
        <w:t>What It Should Contain</w:t>
      </w:r>
    </w:p>
    <w:p>
      <w:pPr>
        <w:pStyle w:val="Body"/>
        <w:numPr>
          <w:ilvl w:val="0"/>
          <w:numId w:val="1"/>
        </w:numPr>
        <w:spacing w:after="80" w:line="300" w:lineRule="auto"/>
      </w:pPr>
      <w:r>
        <w:rPr>
          <w:rFonts w:ascii="Calibri" w:hAnsi="Calibri"/>
        </w:rPr>
        <w:t>Member needs, requests, skills, businesses, services, referrals, jobs, grants, contracts, and supplier opportunities.</w:t>
      </w:r>
    </w:p>
    <w:p>
      <w:pPr>
        <w:pStyle w:val="Body"/>
        <w:numPr>
          <w:ilvl w:val="0"/>
          <w:numId w:val="1"/>
        </w:numPr>
        <w:spacing w:after="80" w:line="300" w:lineRule="auto"/>
      </w:pPr>
      <w:r>
        <w:rPr>
          <w:rFonts w:ascii="Calibri" w:hAnsi="Calibri"/>
        </w:rPr>
        <w:t>Response records showing who followed up and whether the request is open, matched, fulfilled, expired, or declined.</w:t>
      </w:r>
    </w:p>
    <w:p>
      <w:pPr>
        <w:pStyle w:val="Body"/>
        <w:numPr>
          <w:ilvl w:val="0"/>
          <w:numId w:val="1"/>
        </w:numPr>
        <w:spacing w:after="80" w:line="300" w:lineRule="auto"/>
      </w:pPr>
      <w:r>
        <w:rPr>
          <w:rFonts w:ascii="Calibri" w:hAnsi="Calibri"/>
        </w:rPr>
        <w:t>Rules for what ICA promotes, what requires review, and what ICA refuses.</w:t>
      </w:r>
    </w:p>
    <w:p>
      <w:pPr>
        <w:pStyle w:val="Heading3"/>
        <w:keepNext/>
      </w:pPr>
      <w:r>
        <w:rPr>
          <w:rFonts w:ascii="Calibri" w:hAnsi="Calibri"/>
          <w:b/>
          <w:color w:val="1F4D78"/>
          <w:sz w:val="24"/>
          <w:szCs w:val="24"/>
        </w:rPr>
        <w:t>Governance Fit</w:t>
      </w:r>
    </w:p>
    <w:p>
      <w:pPr>
        <w:pStyle w:val="Body"/>
      </w:pPr>
      <w:r>
        <w:rPr>
          <w:rFonts w:ascii="Calibri" w:hAnsi="Calibri"/>
        </w:rPr>
        <w:t>This belongs in Governance when the opportunity affects association trust: who can post, who can promote, and how complaints or corrections are handled.</w:t>
      </w:r>
    </w:p>
    <w:p>
      <w:pPr>
        <w:pStyle w:val="Heading3"/>
        <w:keepNext/>
      </w:pPr>
      <w:r>
        <w:rPr>
          <w:rFonts w:ascii="Calibri" w:hAnsi="Calibri"/>
          <w:b/>
          <w:color w:val="1F4D78"/>
          <w:sz w:val="24"/>
          <w:szCs w:val="24"/>
        </w:rPr>
        <w:t>What Not To Overclaim</w:t>
      </w:r>
    </w:p>
    <w:p>
      <w:pPr>
        <w:pStyle w:val="Body"/>
      </w:pPr>
      <w:r>
        <w:rPr>
          <w:rFonts w:ascii="Calibri" w:hAnsi="Calibri"/>
          <w:i/>
        </w:rPr>
        <w:t>GSN should not guarantee business quality, jobs, grants, repayment, or commercial success. It should record opportunity flow and confirmed outcomes.</w:t>
      </w:r>
    </w:p>
    <w:p>
      <w:pPr>
        <w:pStyle w:val="Heading2"/>
        <w:keepNext/>
      </w:pPr>
      <w:r>
        <w:rPr>
          <w:rFonts w:ascii="Calibri" w:hAnsi="Calibri"/>
          <w:b/>
          <w:color w:val="2E74B5"/>
          <w:sz w:val="26"/>
          <w:szCs w:val="26"/>
        </w:rPr>
        <w:t>Story 4: Cultural Continuity And Community Memory</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FF8E8"/>
            <w:tcMar>
              <w:top w:w="100" w:type="dxa"/>
              <w:start w:w="140" w:type="dxa"/>
              <w:bottom w:w="100" w:type="dxa"/>
              <w:end w:w="140" w:type="dxa"/>
            </w:tcMar>
          </w:tcPr>
          <w:p>
            <w:pPr>
              <w:pStyle w:val="CalloutLabel"/>
            </w:pPr>
            <w:r>
              <w:rPr>
                <w:rFonts w:ascii="Calibri" w:hAnsi="Calibri"/>
              </w:rPr>
              <w:t>Workflow</w:t>
            </w:r>
          </w:p>
          <w:p>
            <w:pPr>
              <w:pStyle w:val="CalloutBody"/>
            </w:pPr>
            <w:r>
              <w:rPr>
                <w:rFonts w:ascii="Calibri" w:hAnsi="Calibri"/>
              </w:rPr>
              <w:t>Event or activity -&gt; record what happened -&gt; attendance or response -&gt; summary -&gt; decision/outcome -&gt; selected evidence -&gt; community memory -&gt; monthly story pack.</w:t>
            </w:r>
          </w:p>
        </w:tc>
      </w:tr>
    </w:tbl>
    <w:p>
      <w:pPr>
        <w:pStyle w:val="Body"/>
        <w:spacing w:before="0" w:after="90"/>
      </w:pPr>
      <w:r>
        <w:rPr>
          <w:rFonts w:ascii="Calibri" w:hAnsi="Calibri"/>
        </w:rPr>
        <w:t/>
      </w:r>
    </w:p>
    <w:p>
      <w:pPr>
        <w:pStyle w:val="Heading3"/>
        <w:keepNext/>
      </w:pPr>
      <w:r>
        <w:rPr>
          <w:rFonts w:ascii="Calibri" w:hAnsi="Calibri"/>
          <w:b/>
          <w:color w:val="1F4D78"/>
          <w:sz w:val="24"/>
          <w:szCs w:val="24"/>
        </w:rPr>
        <w:t>What It Should Contain</w:t>
      </w:r>
    </w:p>
    <w:p>
      <w:pPr>
        <w:pStyle w:val="Body"/>
        <w:numPr>
          <w:ilvl w:val="0"/>
          <w:numId w:val="1"/>
        </w:numPr>
        <w:spacing w:after="80" w:line="300" w:lineRule="auto"/>
      </w:pPr>
      <w:r>
        <w:rPr>
          <w:rFonts w:ascii="Calibri" w:hAnsi="Calibri"/>
        </w:rPr>
        <w:t>Cultural events, ceremonies, service acts, milestones, volunteer contribution, and leadership handover.</w:t>
      </w:r>
    </w:p>
    <w:p>
      <w:pPr>
        <w:pStyle w:val="Body"/>
        <w:numPr>
          <w:ilvl w:val="0"/>
          <w:numId w:val="1"/>
        </w:numPr>
        <w:spacing w:after="80" w:line="300" w:lineRule="auto"/>
      </w:pPr>
      <w:r>
        <w:rPr>
          <w:rFonts w:ascii="Calibri" w:hAnsi="Calibri"/>
        </w:rPr>
        <w:t>Selected evidence references, privacy and consent rules, and records withheld because they are not sponsor-safe.</w:t>
      </w:r>
    </w:p>
    <w:p>
      <w:pPr>
        <w:pStyle w:val="Body"/>
        <w:numPr>
          <w:ilvl w:val="0"/>
          <w:numId w:val="1"/>
        </w:numPr>
        <w:spacing w:after="80" w:line="300" w:lineRule="auto"/>
      </w:pPr>
      <w:r>
        <w:rPr>
          <w:rFonts w:ascii="Calibri" w:hAnsi="Calibri"/>
        </w:rPr>
        <w:t>Grant, sponsor, council, caseworker, AGM, and future-leader summaries based on recorded facts.</w:t>
      </w:r>
    </w:p>
    <w:p>
      <w:pPr>
        <w:pStyle w:val="Heading3"/>
        <w:keepNext/>
      </w:pPr>
      <w:r>
        <w:rPr>
          <w:rFonts w:ascii="Calibri" w:hAnsi="Calibri"/>
          <w:b/>
          <w:color w:val="1F4D78"/>
          <w:sz w:val="24"/>
          <w:szCs w:val="24"/>
        </w:rPr>
        <w:t>Governance Fit</w:t>
      </w:r>
    </w:p>
    <w:p>
      <w:pPr>
        <w:pStyle w:val="Body"/>
      </w:pPr>
      <w:r>
        <w:rPr>
          <w:rFonts w:ascii="Calibri" w:hAnsi="Calibri"/>
        </w:rPr>
        <w:t>This belongs in Governance because community memory affects identity, continuity, cultural ownership, privacy, and what the next committee inherits.</w:t>
      </w:r>
    </w:p>
    <w:p>
      <w:pPr>
        <w:pStyle w:val="Heading3"/>
        <w:keepNext/>
      </w:pPr>
      <w:r>
        <w:rPr>
          <w:rFonts w:ascii="Calibri" w:hAnsi="Calibri"/>
          <w:b/>
          <w:color w:val="1F4D78"/>
          <w:sz w:val="24"/>
          <w:szCs w:val="24"/>
        </w:rPr>
        <w:t>What Not To Overclaim</w:t>
      </w:r>
    </w:p>
    <w:p>
      <w:pPr>
        <w:pStyle w:val="Body"/>
      </w:pPr>
      <w:r>
        <w:rPr>
          <w:rFonts w:ascii="Calibri" w:hAnsi="Calibri"/>
          <w:i/>
        </w:rPr>
        <w:t>GSN is not yet a large-scale picture/video archive. It can preserve structured memory now and selected evidence where product surfaces support it.</w:t>
      </w:r>
    </w:p>
    <w:p>
      <w:r>
        <w:br w:type="page"/>
      </w:r>
    </w:p>
    <w:p>
      <w:pPr>
        <w:pStyle w:val="Heading1"/>
        <w:keepNext/>
      </w:pPr>
      <w:r>
        <w:rPr>
          <w:rFonts w:ascii="Calibri" w:hAnsi="Calibri"/>
          <w:b/>
          <w:color w:val="2E74B5"/>
          <w:sz w:val="32"/>
          <w:szCs w:val="32"/>
        </w:rPr>
        <w:t>3. The High-Return Addition: One Workflow Card</w:t>
      </w:r>
    </w:p>
    <w:p>
      <w:pPr>
        <w:pStyle w:val="Body"/>
      </w:pPr>
      <w:r>
        <w:rPr>
          <w:rFonts w:ascii="Calibri" w:hAnsi="Calibri"/>
        </w:rPr>
        <w:t>The small thing that can give a bigger result is not another large feature list. It is one workflow card that turns whatever pain ICA names into a testable pilot.</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2600"/>
        <w:gridCol w:w="6760"/>
      </w:tblGrid>
      <w:tr>
        <w:trPr>
          <w:tblHeader/>
        </w:trPr>
        <w:tc>
          <w:tcPr>
            <w:tcW w:w="2600" w:type="dxa"/>
            <w:shd w:fill="E8EEF5"/>
            <w:tcMar>
              <w:top w:w="100" w:type="dxa"/>
              <w:start w:w="140" w:type="dxa"/>
              <w:bottom w:w="100" w:type="dxa"/>
              <w:end w:w="140" w:type="dxa"/>
            </w:tcMar>
          </w:tcPr>
          <w:p>
            <w:pPr>
              <w:pStyle w:val="TableText"/>
            </w:pPr>
            <w:r>
              <w:rPr>
                <w:rFonts w:ascii="Calibri" w:hAnsi="Calibri"/>
                <w:b/>
              </w:rPr>
              <w:t>Field</w:t>
            </w:r>
          </w:p>
        </w:tc>
        <w:tc>
          <w:tcPr>
            <w:tcW w:w="6760" w:type="dxa"/>
            <w:shd w:fill="E8EEF5"/>
            <w:tcMar>
              <w:top w:w="100" w:type="dxa"/>
              <w:start w:w="140" w:type="dxa"/>
              <w:bottom w:w="100" w:type="dxa"/>
              <w:end w:w="140" w:type="dxa"/>
            </w:tcMar>
          </w:tcPr>
          <w:p>
            <w:pPr>
              <w:pStyle w:val="TableText"/>
            </w:pPr>
            <w:r>
              <w:rPr>
                <w:rFonts w:ascii="Calibri" w:hAnsi="Calibri"/>
                <w:b/>
              </w:rPr>
              <w:t>Answer to capture during or after the session</w:t>
            </w:r>
          </w:p>
        </w:tc>
      </w:tr>
      <w:tr>
        <w:tc>
          <w:tcPr>
            <w:tcW w:w="2600" w:type="dxa"/>
            <w:shd w:fill="FFFFFF"/>
            <w:tcMar>
              <w:top w:w="100" w:type="dxa"/>
              <w:start w:w="140" w:type="dxa"/>
              <w:bottom w:w="100" w:type="dxa"/>
              <w:end w:w="140" w:type="dxa"/>
            </w:tcMar>
          </w:tcPr>
          <w:p>
            <w:pPr>
              <w:pStyle w:val="TableText"/>
            </w:pPr>
            <w:r>
              <w:rPr>
                <w:rFonts w:ascii="Calibri" w:hAnsi="Calibri"/>
              </w:rPr>
              <w:t>ICA pain named</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Current way ICA handles it</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Where the evidence lives today</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Who should confirm it</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What must stay private</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What GSN record would help</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Executive benefit</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Member benefit</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First 30-day test</w:t>
            </w:r>
          </w:p>
        </w:tc>
        <w:tc>
          <w:tcPr>
            <w:tcW w:w="6760" w:type="dxa"/>
            <w:shd w:fill="FFFFFF"/>
            <w:tcMar>
              <w:top w:w="100" w:type="dxa"/>
              <w:start w:w="140" w:type="dxa"/>
              <w:bottom w:w="100" w:type="dxa"/>
              <w:end w:w="140" w:type="dxa"/>
            </w:tcMar>
          </w:tcPr>
          <w:p>
            <w:pPr>
              <w:pStyle w:val="TableText"/>
            </w:pPr>
            <w:r>
              <w:rPr>
                <w:rFonts w:ascii="Calibri" w:hAnsi="Calibri"/>
              </w:rPr>
              <w:t/>
            </w:r>
          </w:p>
        </w:tc>
      </w:tr>
      <w:tr>
        <w:tc>
          <w:tcPr>
            <w:tcW w:w="2600" w:type="dxa"/>
            <w:shd w:fill="FFFFFF"/>
            <w:tcMar>
              <w:top w:w="100" w:type="dxa"/>
              <w:start w:w="140" w:type="dxa"/>
              <w:bottom w:w="100" w:type="dxa"/>
              <w:end w:w="140" w:type="dxa"/>
            </w:tcMar>
          </w:tcPr>
          <w:p>
            <w:pPr>
              <w:pStyle w:val="TableText"/>
            </w:pPr>
            <w:r>
              <w:rPr>
                <w:rFonts w:ascii="Calibri" w:hAnsi="Calibri"/>
              </w:rPr>
              <w:t>Reason to reject or pause</w:t>
            </w:r>
          </w:p>
        </w:tc>
        <w:tc>
          <w:tcPr>
            <w:tcW w:w="6760" w:type="dxa"/>
            <w:shd w:fill="FFFFFF"/>
            <w:tcMar>
              <w:top w:w="100" w:type="dxa"/>
              <w:start w:w="140" w:type="dxa"/>
              <w:bottom w:w="100" w:type="dxa"/>
              <w:end w:w="140" w:type="dxa"/>
            </w:tcMar>
          </w:tcPr>
          <w:p>
            <w:pPr>
              <w:pStyle w:val="TableText"/>
            </w:pPr>
            <w:r>
              <w:rPr>
                <w:rFonts w:ascii="Calibri" w:hAnsi="Calibri"/>
              </w:rPr>
              <w:t/>
            </w:r>
          </w:p>
        </w:tc>
      </w:tr>
    </w:tbl>
    <w:p>
      <w:pPr>
        <w:pStyle w:val="Body"/>
        <w:spacing w:before="0" w:after="90"/>
      </w:pPr>
      <w:r>
        <w:rPr>
          <w:rFonts w:ascii="Calibri" w:hAnsi="Calibri"/>
        </w:rPr>
        <w:t/>
      </w:r>
    </w:p>
    <w:p>
      <w:pPr>
        <w:pStyle w:val="Heading1"/>
        <w:keepNext/>
      </w:pPr>
      <w:r>
        <w:rPr>
          <w:rFonts w:ascii="Calibri" w:hAnsi="Calibri"/>
          <w:b/>
          <w:color w:val="2E74B5"/>
          <w:sz w:val="32"/>
          <w:szCs w:val="32"/>
        </w:rPr>
        <w:t>4. Monthly Community Value PDF</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EAF4EA"/>
            <w:tcMar>
              <w:top w:w="100" w:type="dxa"/>
              <w:start w:w="140" w:type="dxa"/>
              <w:bottom w:w="100" w:type="dxa"/>
              <w:end w:w="140" w:type="dxa"/>
            </w:tcMar>
          </w:tcPr>
          <w:p>
            <w:pPr>
              <w:pStyle w:val="CalloutLabel"/>
            </w:pPr>
            <w:r>
              <w:rPr>
                <w:rFonts w:ascii="Calibri" w:hAnsi="Calibri"/>
              </w:rPr>
              <w:t>Current product claim</w:t>
            </w:r>
          </w:p>
          <w:p>
            <w:pPr>
              <w:pStyle w:val="CalloutBody"/>
            </w:pPr>
            <w:r>
              <w:rPr>
                <w:rFonts w:ascii="Calibri" w:hAnsi="Calibri"/>
              </w:rPr>
              <w:t>If an association records important activity inside GSN during the week or month, GSN can help produce an aggregate Community Value PDF with much less manual chasing.</w:t>
            </w:r>
          </w:p>
        </w:tc>
      </w:tr>
    </w:tbl>
    <w:p>
      <w:pPr>
        <w:pStyle w:val="Body"/>
        <w:spacing w:before="0" w:after="90"/>
      </w:pPr>
      <w:r>
        <w:rPr>
          <w:rFonts w:ascii="Calibri" w:hAnsi="Calibri"/>
        </w:rPr>
        <w:t/>
      </w:r>
    </w:p>
    <w:p>
      <w:pPr>
        <w:pStyle w:val="Body"/>
      </w:pPr>
      <w:r>
        <w:rPr>
          <w:rFonts w:ascii="Calibri" w:hAnsi="Calibri"/>
        </w:rPr>
        <w:t>Where it now belongs in GSN: Community Domain -&gt; Governance -&gt; Reports -&gt; Prepare Community Value PDF. An authorised admin can choose Last 7 days, This month, or Last 30 days, then generate a sponsor-safe or director/admin aggregate report.</w:t>
      </w:r>
    </w:p>
    <w:p>
      <w:pPr>
        <w:pStyle w:val="Heading2"/>
        <w:keepNext/>
      </w:pPr>
      <w:r>
        <w:rPr>
          <w:rFonts w:ascii="Calibri" w:hAnsi="Calibri"/>
          <w:b/>
          <w:color w:val="2E74B5"/>
          <w:sz w:val="26"/>
          <w:szCs w:val="26"/>
        </w:rPr>
        <w:t>What The Current PDF Contains</w:t>
      </w:r>
    </w:p>
    <w:p>
      <w:pPr>
        <w:pStyle w:val="Body"/>
        <w:numPr>
          <w:ilvl w:val="0"/>
          <w:numId w:val="1"/>
        </w:numPr>
        <w:spacing w:after="80" w:line="300" w:lineRule="auto"/>
      </w:pPr>
      <w:r>
        <w:rPr>
          <w:rFonts w:ascii="Calibri" w:hAnsi="Calibri"/>
        </w:rPr>
        <w:t>Report title, Community Domain name, reporting period, prepared date, and audience.</w:t>
      </w:r>
    </w:p>
    <w:p>
      <w:pPr>
        <w:pStyle w:val="Body"/>
        <w:numPr>
          <w:ilvl w:val="0"/>
          <w:numId w:val="1"/>
        </w:numPr>
        <w:spacing w:after="80" w:line="300" w:lineRule="auto"/>
      </w:pPr>
      <w:r>
        <w:rPr>
          <w:rFonts w:ascii="Calibri" w:hAnsi="Calibri"/>
        </w:rPr>
        <w:t>A recorded-facts boundary: only records captured in GSN are counted.</w:t>
      </w:r>
    </w:p>
    <w:p>
      <w:pPr>
        <w:pStyle w:val="Body"/>
        <w:numPr>
          <w:ilvl w:val="0"/>
          <w:numId w:val="1"/>
        </w:numPr>
        <w:spacing w:after="80" w:line="300" w:lineRule="auto"/>
      </w:pPr>
      <w:r>
        <w:rPr>
          <w:rFonts w:ascii="Calibri" w:hAnsi="Calibri"/>
        </w:rPr>
        <w:t>A privacy boundary: sponsor-safe PDFs omit private beneficiary and member-level detail.</w:t>
      </w:r>
    </w:p>
    <w:p>
      <w:pPr>
        <w:pStyle w:val="Body"/>
        <w:numPr>
          <w:ilvl w:val="0"/>
          <w:numId w:val="1"/>
        </w:numPr>
        <w:spacing w:after="80" w:line="300" w:lineRule="auto"/>
      </w:pPr>
      <w:r>
        <w:rPr>
          <w:rFonts w:ascii="Calibri" w:hAnsi="Calibri"/>
        </w:rPr>
        <w:t>Director/admin aggregate counts and sponsor-safe aggregate counts.</w:t>
      </w:r>
    </w:p>
    <w:p>
      <w:pPr>
        <w:pStyle w:val="Body"/>
        <w:numPr>
          <w:ilvl w:val="0"/>
          <w:numId w:val="1"/>
        </w:numPr>
        <w:spacing w:after="80" w:line="300" w:lineRule="auto"/>
      </w:pPr>
      <w:r>
        <w:rPr>
          <w:rFonts w:ascii="Calibri" w:hAnsi="Calibri"/>
        </w:rPr>
        <w:t>Activity, beneficiary outcome, confirmation, delivery, evidence, and challenge or correction signals where records exist.</w:t>
      </w:r>
    </w:p>
    <w:p>
      <w:pPr>
        <w:pStyle w:val="Body"/>
        <w:numPr>
          <w:ilvl w:val="0"/>
          <w:numId w:val="1"/>
        </w:numPr>
        <w:spacing w:after="80" w:line="300" w:lineRule="auto"/>
      </w:pPr>
      <w:r>
        <w:rPr>
          <w:rFonts w:ascii="Calibri" w:hAnsi="Calibri"/>
        </w:rPr>
        <w:t>The four association value lines: administration, verification, economic opportunity, and cultural/community memory.</w:t>
      </w:r>
    </w:p>
    <w:p>
      <w:pPr>
        <w:pStyle w:val="Body"/>
        <w:numPr>
          <w:ilvl w:val="0"/>
          <w:numId w:val="1"/>
        </w:numPr>
        <w:spacing w:after="80" w:line="300" w:lineRule="auto"/>
      </w:pPr>
      <w:r>
        <w:rPr>
          <w:rFonts w:ascii="Calibri" w:hAnsi="Calibri"/>
        </w:rPr>
        <w:t>A clear statement of what the PDF does not count.</w:t>
      </w:r>
    </w:p>
    <w:p>
      <w:pPr>
        <w:pStyle w:val="Heading2"/>
        <w:keepNext/>
      </w:pPr>
      <w:r>
        <w:rPr>
          <w:rFonts w:ascii="Calibri" w:hAnsi="Calibri"/>
          <w:b/>
          <w:color w:val="2E74B5"/>
          <w:sz w:val="26"/>
          <w:szCs w:val="26"/>
        </w:rPr>
        <w:t>What It Can Support</w:t>
      </w:r>
    </w:p>
    <w:p>
      <w:pPr>
        <w:pStyle w:val="Body"/>
        <w:numPr>
          <w:ilvl w:val="0"/>
          <w:numId w:val="1"/>
        </w:numPr>
        <w:spacing w:after="80" w:line="300" w:lineRule="auto"/>
      </w:pPr>
      <w:r>
        <w:rPr>
          <w:rFonts w:ascii="Calibri" w:hAnsi="Calibri"/>
        </w:rPr>
        <w:t>Grant applications and sponsor updates.</w:t>
      </w:r>
    </w:p>
    <w:p>
      <w:pPr>
        <w:pStyle w:val="Body"/>
        <w:numPr>
          <w:ilvl w:val="0"/>
          <w:numId w:val="1"/>
        </w:numPr>
        <w:spacing w:after="80" w:line="300" w:lineRule="auto"/>
      </w:pPr>
      <w:r>
        <w:rPr>
          <w:rFonts w:ascii="Calibri" w:hAnsi="Calibri"/>
        </w:rPr>
        <w:t>Council conversations and community impact discussions.</w:t>
      </w:r>
    </w:p>
    <w:p>
      <w:pPr>
        <w:pStyle w:val="Body"/>
        <w:numPr>
          <w:ilvl w:val="0"/>
          <w:numId w:val="1"/>
        </w:numPr>
        <w:spacing w:after="80" w:line="300" w:lineRule="auto"/>
      </w:pPr>
      <w:r>
        <w:rPr>
          <w:rFonts w:ascii="Calibri" w:hAnsi="Calibri"/>
        </w:rPr>
        <w:t>Caseworker reading where only safe aggregate facts should be shared.</w:t>
      </w:r>
    </w:p>
    <w:p>
      <w:pPr>
        <w:pStyle w:val="Body"/>
        <w:numPr>
          <w:ilvl w:val="0"/>
          <w:numId w:val="1"/>
        </w:numPr>
        <w:spacing w:after="80" w:line="300" w:lineRule="auto"/>
      </w:pPr>
      <w:r>
        <w:rPr>
          <w:rFonts w:ascii="Calibri" w:hAnsi="Calibri"/>
        </w:rPr>
        <w:t>AGM reports, audits, leadership handover, and continuity planning.</w:t>
      </w:r>
    </w:p>
    <w:p>
      <w:pPr>
        <w:pStyle w:val="Heading2"/>
        <w:keepNext/>
      </w:pPr>
      <w:r>
        <w:rPr>
          <w:rFonts w:ascii="Calibri" w:hAnsi="Calibri"/>
          <w:b/>
          <w:color w:val="2E74B5"/>
          <w:sz w:val="26"/>
          <w:szCs w:val="26"/>
        </w:rPr>
        <w:t>Hard Boundary</w:t>
      </w:r>
    </w:p>
    <w:p>
      <w:pPr>
        <w:pStyle w:val="Body"/>
        <w:numPr>
          <w:ilvl w:val="0"/>
          <w:numId w:val="1"/>
        </w:numPr>
        <w:spacing w:after="80" w:line="300" w:lineRule="auto"/>
      </w:pPr>
      <w:r>
        <w:rPr>
          <w:rFonts w:ascii="Calibri" w:hAnsi="Calibri"/>
        </w:rPr>
        <w:t>The PDF cannot create credible evidence from activity that was never recorded.</w:t>
      </w:r>
    </w:p>
    <w:p>
      <w:pPr>
        <w:pStyle w:val="Body"/>
        <w:numPr>
          <w:ilvl w:val="0"/>
          <w:numId w:val="1"/>
        </w:numPr>
        <w:spacing w:after="80" w:line="300" w:lineRule="auto"/>
      </w:pPr>
      <w:r>
        <w:rPr>
          <w:rFonts w:ascii="Calibri" w:hAnsi="Calibri"/>
        </w:rPr>
        <w:t>It does not expose private welfare cases, raw phone numbers, private notes, or member stories without consent and role control.</w:t>
      </w:r>
    </w:p>
    <w:p>
      <w:pPr>
        <w:pStyle w:val="Body"/>
        <w:numPr>
          <w:ilvl w:val="0"/>
          <w:numId w:val="1"/>
        </w:numPr>
        <w:spacing w:after="80" w:line="300" w:lineRule="auto"/>
      </w:pPr>
      <w:r>
        <w:rPr>
          <w:rFonts w:ascii="Calibri" w:hAnsi="Calibri"/>
        </w:rPr>
        <w:t>It does not make automatic judgement about who deserves help, trust, credit, or status.</w:t>
      </w:r>
    </w:p>
    <w:p>
      <w:pPr>
        <w:pStyle w:val="Body"/>
        <w:numPr>
          <w:ilvl w:val="0"/>
          <w:numId w:val="1"/>
        </w:numPr>
        <w:spacing w:after="80" w:line="300" w:lineRule="auto"/>
      </w:pPr>
      <w:r>
        <w:rPr>
          <w:rFonts w:ascii="Calibri" w:hAnsi="Calibri"/>
        </w:rPr>
        <w:t>Custom date-picker UI, automatic transcription, full large media archive, and ICA-specific grant narrative templates remain future or staged work.</w:t>
      </w:r>
    </w:p>
    <w:p>
      <w:r>
        <w:br w:type="page"/>
      </w:r>
    </w:p>
    <w:p>
      <w:pPr>
        <w:pStyle w:val="Heading1"/>
        <w:keepNext/>
      </w:pPr>
      <w:r>
        <w:rPr>
          <w:rFonts w:ascii="Calibri" w:hAnsi="Calibri"/>
          <w:b/>
          <w:color w:val="2E74B5"/>
          <w:sz w:val="32"/>
          <w:szCs w:val="32"/>
        </w:rPr>
        <w:t>5. GSN Compared With Current Tools</w:t>
      </w:r>
    </w:p>
    <w:p>
      <w:pPr>
        <w:pStyle w:val="Body"/>
      </w:pPr>
      <w:r>
        <w:rPr>
          <w:rFonts w:ascii="Calibri" w:hAnsi="Calibri"/>
        </w:rPr>
        <w:t>The question is not whether WhatsApp, Microsoft 365, Google Workspace, calendars, forms, spreadsheets, or project tools are useful. They are useful. The question is whether they are built around a governed community's trust, contribution, support, verification, opportunity, and memory.</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2200"/>
        <w:gridCol w:w="3580"/>
        <w:gridCol w:w="3580"/>
      </w:tblGrid>
      <w:tr>
        <w:trPr>
          <w:tblHeader/>
        </w:trPr>
        <w:tc>
          <w:tcPr>
            <w:tcW w:w="2200" w:type="dxa"/>
            <w:shd w:fill="E8EEF5"/>
            <w:tcMar>
              <w:top w:w="100" w:type="dxa"/>
              <w:start w:w="140" w:type="dxa"/>
              <w:bottom w:w="100" w:type="dxa"/>
              <w:end w:w="140" w:type="dxa"/>
            </w:tcMar>
          </w:tcPr>
          <w:p>
            <w:pPr>
              <w:pStyle w:val="TableText"/>
            </w:pPr>
            <w:r>
              <w:rPr>
                <w:rFonts w:ascii="Calibri" w:hAnsi="Calibri"/>
                <w:b/>
              </w:rPr>
              <w:t>Association need</w:t>
            </w:r>
          </w:p>
        </w:tc>
        <w:tc>
          <w:tcPr>
            <w:tcW w:w="3580" w:type="dxa"/>
            <w:shd w:fill="E8EEF5"/>
            <w:tcMar>
              <w:top w:w="100" w:type="dxa"/>
              <w:start w:w="140" w:type="dxa"/>
              <w:bottom w:w="100" w:type="dxa"/>
              <w:end w:w="140" w:type="dxa"/>
            </w:tcMar>
          </w:tcPr>
          <w:p>
            <w:pPr>
              <w:pStyle w:val="TableText"/>
            </w:pPr>
            <w:r>
              <w:rPr>
                <w:rFonts w:ascii="Calibri" w:hAnsi="Calibri"/>
                <w:b/>
              </w:rPr>
              <w:t>Current tool pattern</w:t>
            </w:r>
          </w:p>
        </w:tc>
        <w:tc>
          <w:tcPr>
            <w:tcW w:w="3580" w:type="dxa"/>
            <w:shd w:fill="E8EEF5"/>
            <w:tcMar>
              <w:top w:w="100" w:type="dxa"/>
              <w:start w:w="140" w:type="dxa"/>
              <w:bottom w:w="100" w:type="dxa"/>
              <w:end w:w="140" w:type="dxa"/>
            </w:tcMar>
          </w:tcPr>
          <w:p>
            <w:pPr>
              <w:pStyle w:val="TableText"/>
            </w:pPr>
            <w:r>
              <w:rPr>
                <w:rFonts w:ascii="Calibri" w:hAnsi="Calibri"/>
                <w:b/>
              </w:rPr>
              <w:t>GSN position</w:t>
            </w:r>
          </w:p>
        </w:tc>
      </w:tr>
      <w:tr>
        <w:tc>
          <w:tcPr>
            <w:tcW w:w="2200" w:type="dxa"/>
            <w:shd w:fill="FFFFFF"/>
            <w:tcMar>
              <w:top w:w="100" w:type="dxa"/>
              <w:start w:w="140" w:type="dxa"/>
              <w:bottom w:w="100" w:type="dxa"/>
              <w:end w:w="140" w:type="dxa"/>
            </w:tcMar>
          </w:tcPr>
          <w:p>
            <w:pPr>
              <w:pStyle w:val="TableText"/>
            </w:pPr>
            <w:r>
              <w:rPr>
                <w:rFonts w:ascii="Calibri" w:hAnsi="Calibri"/>
              </w:rPr>
              <w:t>Official announcements</w:t>
            </w:r>
          </w:p>
        </w:tc>
        <w:tc>
          <w:tcPr>
            <w:tcW w:w="3580" w:type="dxa"/>
            <w:shd w:fill="FFFFFF"/>
            <w:tcMar>
              <w:top w:w="100" w:type="dxa"/>
              <w:start w:w="140" w:type="dxa"/>
              <w:bottom w:w="100" w:type="dxa"/>
              <w:end w:w="140" w:type="dxa"/>
            </w:tcMar>
          </w:tcPr>
          <w:p>
            <w:pPr>
              <w:pStyle w:val="TableText"/>
            </w:pPr>
            <w:r>
              <w:rPr>
                <w:rFonts w:ascii="Calibri" w:hAnsi="Calibri"/>
              </w:rPr>
              <w:t>Fast in chat, but easily buried or mixed with ordinary conversation.</w:t>
            </w:r>
          </w:p>
        </w:tc>
        <w:tc>
          <w:tcPr>
            <w:tcW w:w="3580" w:type="dxa"/>
            <w:shd w:fill="FFFFFF"/>
            <w:tcMar>
              <w:top w:w="100" w:type="dxa"/>
              <w:start w:w="140" w:type="dxa"/>
              <w:bottom w:w="100" w:type="dxa"/>
              <w:end w:w="140" w:type="dxa"/>
            </w:tcMar>
          </w:tcPr>
          <w:p>
            <w:pPr>
              <w:pStyle w:val="TableText"/>
            </w:pPr>
            <w:r>
              <w:rPr>
                <w:rFonts w:ascii="Calibri" w:hAnsi="Calibri"/>
              </w:rPr>
              <w:t>Keep selected notices visible, scoped, expiring, and acknowledged.</w:t>
            </w:r>
          </w:p>
        </w:tc>
      </w:tr>
      <w:tr>
        <w:tc>
          <w:tcPr>
            <w:tcW w:w="2200" w:type="dxa"/>
            <w:shd w:fill="FFFFFF"/>
            <w:tcMar>
              <w:top w:w="100" w:type="dxa"/>
              <w:start w:w="140" w:type="dxa"/>
              <w:bottom w:w="100" w:type="dxa"/>
              <w:end w:w="140" w:type="dxa"/>
            </w:tcMar>
          </w:tcPr>
          <w:p>
            <w:pPr>
              <w:pStyle w:val="TableText"/>
            </w:pPr>
            <w:r>
              <w:rPr>
                <w:rFonts w:ascii="Calibri" w:hAnsi="Calibri"/>
              </w:rPr>
              <w:t>Meetings</w:t>
            </w:r>
          </w:p>
        </w:tc>
        <w:tc>
          <w:tcPr>
            <w:tcW w:w="3580" w:type="dxa"/>
            <w:shd w:fill="FFFFFF"/>
            <w:tcMar>
              <w:top w:w="100" w:type="dxa"/>
              <w:start w:w="140" w:type="dxa"/>
              <w:bottom w:w="100" w:type="dxa"/>
              <w:end w:w="140" w:type="dxa"/>
            </w:tcMar>
          </w:tcPr>
          <w:p>
            <w:pPr>
              <w:pStyle w:val="TableText"/>
            </w:pPr>
            <w:r>
              <w:rPr>
                <w:rFonts w:ascii="Calibri" w:hAnsi="Calibri"/>
              </w:rPr>
              <w:t>Calendar, chat, documents, and memory can scatter the lifecycle.</w:t>
            </w:r>
          </w:p>
        </w:tc>
        <w:tc>
          <w:tcPr>
            <w:tcW w:w="3580" w:type="dxa"/>
            <w:shd w:fill="FFFFFF"/>
            <w:tcMar>
              <w:top w:w="100" w:type="dxa"/>
              <w:start w:w="140" w:type="dxa"/>
              <w:bottom w:w="100" w:type="dxa"/>
              <w:end w:w="140" w:type="dxa"/>
            </w:tcMar>
          </w:tcPr>
          <w:p>
            <w:pPr>
              <w:pStyle w:val="TableText"/>
            </w:pPr>
            <w:r>
              <w:rPr>
                <w:rFonts w:ascii="Calibri" w:hAnsi="Calibri"/>
              </w:rPr>
              <w:t>Hold notice, purpose, response, attendance, summary, decisions, and follow-up as one governed record.</w:t>
            </w:r>
          </w:p>
        </w:tc>
      </w:tr>
      <w:tr>
        <w:tc>
          <w:tcPr>
            <w:tcW w:w="2200" w:type="dxa"/>
            <w:shd w:fill="FFFFFF"/>
            <w:tcMar>
              <w:top w:w="100" w:type="dxa"/>
              <w:start w:w="140" w:type="dxa"/>
              <w:bottom w:w="100" w:type="dxa"/>
              <w:end w:w="140" w:type="dxa"/>
            </w:tcMar>
          </w:tcPr>
          <w:p>
            <w:pPr>
              <w:pStyle w:val="TableText"/>
            </w:pPr>
            <w:r>
              <w:rPr>
                <w:rFonts w:ascii="Calibri" w:hAnsi="Calibri"/>
              </w:rPr>
              <w:t>Verification</w:t>
            </w:r>
          </w:p>
        </w:tc>
        <w:tc>
          <w:tcPr>
            <w:tcW w:w="3580" w:type="dxa"/>
            <w:shd w:fill="FFFFFF"/>
            <w:tcMar>
              <w:top w:w="100" w:type="dxa"/>
              <w:start w:w="140" w:type="dxa"/>
              <w:bottom w:w="100" w:type="dxa"/>
              <w:end w:w="140" w:type="dxa"/>
            </w:tcMar>
          </w:tcPr>
          <w:p>
            <w:pPr>
              <w:pStyle w:val="TableText"/>
            </w:pPr>
            <w:r>
              <w:rPr>
                <w:rFonts w:ascii="Calibri" w:hAnsi="Calibri"/>
              </w:rPr>
              <w:t>Private calls and informal references are hard to reuse safely.</w:t>
            </w:r>
          </w:p>
        </w:tc>
        <w:tc>
          <w:tcPr>
            <w:tcW w:w="3580" w:type="dxa"/>
            <w:shd w:fill="FFFFFF"/>
            <w:tcMar>
              <w:top w:w="100" w:type="dxa"/>
              <w:start w:w="140" w:type="dxa"/>
              <w:bottom w:w="100" w:type="dxa"/>
              <w:end w:w="140" w:type="dxa"/>
            </w:tcMar>
          </w:tcPr>
          <w:p>
            <w:pPr>
              <w:pStyle w:val="TableText"/>
            </w:pPr>
            <w:r>
              <w:rPr>
                <w:rFonts w:ascii="Calibri" w:hAnsi="Calibri"/>
              </w:rPr>
              <w:t>Share confirmed evidence through Trust Passport or TrustSlip with privacy boundaries.</w:t>
            </w:r>
          </w:p>
        </w:tc>
      </w:tr>
      <w:tr>
        <w:tc>
          <w:tcPr>
            <w:tcW w:w="2200" w:type="dxa"/>
            <w:shd w:fill="FFFFFF"/>
            <w:tcMar>
              <w:top w:w="100" w:type="dxa"/>
              <w:start w:w="140" w:type="dxa"/>
              <w:bottom w:w="100" w:type="dxa"/>
              <w:end w:w="140" w:type="dxa"/>
            </w:tcMar>
          </w:tcPr>
          <w:p>
            <w:pPr>
              <w:pStyle w:val="TableText"/>
            </w:pPr>
            <w:r>
              <w:rPr>
                <w:rFonts w:ascii="Calibri" w:hAnsi="Calibri"/>
              </w:rPr>
              <w:t>Opportunity</w:t>
            </w:r>
          </w:p>
        </w:tc>
        <w:tc>
          <w:tcPr>
            <w:tcW w:w="3580" w:type="dxa"/>
            <w:shd w:fill="FFFFFF"/>
            <w:tcMar>
              <w:top w:w="100" w:type="dxa"/>
              <w:start w:w="140" w:type="dxa"/>
              <w:bottom w:w="100" w:type="dxa"/>
              <w:end w:w="140" w:type="dxa"/>
            </w:tcMar>
          </w:tcPr>
          <w:p>
            <w:pPr>
              <w:pStyle w:val="TableText"/>
            </w:pPr>
            <w:r>
              <w:rPr>
                <w:rFonts w:ascii="Calibri" w:hAnsi="Calibri"/>
              </w:rPr>
              <w:t>Jobs, services, needs, and referrals vanish quickly.</w:t>
            </w:r>
          </w:p>
        </w:tc>
        <w:tc>
          <w:tcPr>
            <w:tcW w:w="3580" w:type="dxa"/>
            <w:shd w:fill="FFFFFF"/>
            <w:tcMar>
              <w:top w:w="100" w:type="dxa"/>
              <w:start w:w="140" w:type="dxa"/>
              <w:bottom w:w="100" w:type="dxa"/>
              <w:end w:w="140" w:type="dxa"/>
            </w:tcMar>
          </w:tcPr>
          <w:p>
            <w:pPr>
              <w:pStyle w:val="TableText"/>
            </w:pPr>
            <w:r>
              <w:rPr>
                <w:rFonts w:ascii="Calibri" w:hAnsi="Calibri"/>
              </w:rPr>
              <w:t>Use Demand Box, Spotlight, marketplace visibility, and status records to keep opportunity actionable.</w:t>
            </w:r>
          </w:p>
        </w:tc>
      </w:tr>
      <w:tr>
        <w:tc>
          <w:tcPr>
            <w:tcW w:w="2200" w:type="dxa"/>
            <w:shd w:fill="FFFFFF"/>
            <w:tcMar>
              <w:top w:w="100" w:type="dxa"/>
              <w:start w:w="140" w:type="dxa"/>
              <w:bottom w:w="100" w:type="dxa"/>
              <w:end w:w="140" w:type="dxa"/>
            </w:tcMar>
          </w:tcPr>
          <w:p>
            <w:pPr>
              <w:pStyle w:val="TableText"/>
            </w:pPr>
            <w:r>
              <w:rPr>
                <w:rFonts w:ascii="Calibri" w:hAnsi="Calibri"/>
              </w:rPr>
              <w:t>Community memory</w:t>
            </w:r>
          </w:p>
        </w:tc>
        <w:tc>
          <w:tcPr>
            <w:tcW w:w="3580" w:type="dxa"/>
            <w:shd w:fill="FFFFFF"/>
            <w:tcMar>
              <w:top w:w="100" w:type="dxa"/>
              <w:start w:w="140" w:type="dxa"/>
              <w:bottom w:w="100" w:type="dxa"/>
              <w:end w:w="140" w:type="dxa"/>
            </w:tcMar>
          </w:tcPr>
          <w:p>
            <w:pPr>
              <w:pStyle w:val="TableText"/>
            </w:pPr>
            <w:r>
              <w:rPr>
                <w:rFonts w:ascii="Calibri" w:hAnsi="Calibri"/>
              </w:rPr>
              <w:t>Old phones, old officers, photos, and minutes can fragment history.</w:t>
            </w:r>
          </w:p>
        </w:tc>
        <w:tc>
          <w:tcPr>
            <w:tcW w:w="3580" w:type="dxa"/>
            <w:shd w:fill="FFFFFF"/>
            <w:tcMar>
              <w:top w:w="100" w:type="dxa"/>
              <w:start w:w="140" w:type="dxa"/>
              <w:bottom w:w="100" w:type="dxa"/>
              <w:end w:w="140" w:type="dxa"/>
            </w:tcMar>
          </w:tcPr>
          <w:p>
            <w:pPr>
              <w:pStyle w:val="TableText"/>
            </w:pPr>
            <w:r>
              <w:rPr>
                <w:rFonts w:ascii="Calibri" w:hAnsi="Calibri"/>
              </w:rPr>
              <w:t>Preserve structured activity and reporting value for future leaders and external conversations.</w:t>
            </w:r>
          </w:p>
        </w:tc>
      </w:tr>
    </w:tbl>
    <w:p>
      <w:pPr>
        <w:pStyle w:val="Body"/>
        <w:spacing w:before="0" w:after="90"/>
      </w:pPr>
      <w:r>
        <w:rPr>
          <w:rFonts w:ascii="Calibri" w:hAnsi="Calibri"/>
        </w:rPr>
        <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4F6F9"/>
            <w:tcMar>
              <w:top w:w="100" w:type="dxa"/>
              <w:start w:w="140" w:type="dxa"/>
              <w:bottom w:w="100" w:type="dxa"/>
              <w:end w:w="140" w:type="dxa"/>
            </w:tcMar>
          </w:tcPr>
          <w:p>
            <w:pPr>
              <w:pStyle w:val="CalloutLabel"/>
            </w:pPr>
            <w:r>
              <w:rPr>
                <w:rFonts w:ascii="Calibri" w:hAnsi="Calibri"/>
              </w:rPr>
              <w:t>Simple distinction</w:t>
            </w:r>
          </w:p>
          <w:p>
            <w:pPr>
              <w:pStyle w:val="CalloutBody"/>
            </w:pPr>
            <w:r>
              <w:rPr>
                <w:rFonts w:ascii="Calibri" w:hAnsi="Calibri"/>
              </w:rPr>
              <w:t>Chat tools help ICA talk. Office tools help ICA store documents. Finance tools help ICA track money. GSN helps ICA preserve and mobilise community value itself: trust, participation, contribution, support, commerce, demand, verification, and opportunity.</w:t>
            </w:r>
          </w:p>
        </w:tc>
      </w:tr>
    </w:tbl>
    <w:p>
      <w:pPr>
        <w:pStyle w:val="Body"/>
        <w:spacing w:before="0" w:after="90"/>
      </w:pPr>
      <w:r>
        <w:rPr>
          <w:rFonts w:ascii="Calibri" w:hAnsi="Calibri"/>
        </w:rPr>
        <w:t/>
      </w:r>
    </w:p>
    <w:p>
      <w:pPr>
        <w:pStyle w:val="Heading1"/>
        <w:keepNext/>
      </w:pPr>
      <w:r>
        <w:rPr>
          <w:rFonts w:ascii="Calibri" w:hAnsi="Calibri"/>
          <w:b/>
          <w:color w:val="2E74B5"/>
          <w:sz w:val="32"/>
          <w:szCs w:val="32"/>
        </w:rPr>
        <w:t>6. What Can Be Shown Now And What Is Future</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4680"/>
        <w:gridCol w:w="4680"/>
      </w:tblGrid>
      <w:tr>
        <w:trPr>
          <w:tblHeader/>
        </w:trPr>
        <w:tc>
          <w:tcPr>
            <w:tcW w:w="4680" w:type="dxa"/>
            <w:shd w:fill="E8EEF5"/>
            <w:tcMar>
              <w:top w:w="100" w:type="dxa"/>
              <w:start w:w="140" w:type="dxa"/>
              <w:bottom w:w="100" w:type="dxa"/>
              <w:end w:w="140" w:type="dxa"/>
            </w:tcMar>
          </w:tcPr>
          <w:p>
            <w:pPr>
              <w:pStyle w:val="TableText"/>
            </w:pPr>
            <w:r>
              <w:rPr>
                <w:rFonts w:ascii="Calibri" w:hAnsi="Calibri"/>
                <w:b/>
              </w:rPr>
              <w:t>Can show now / represented in current product direction</w:t>
            </w:r>
          </w:p>
        </w:tc>
        <w:tc>
          <w:tcPr>
            <w:tcW w:w="4680" w:type="dxa"/>
            <w:shd w:fill="E8EEF5"/>
            <w:tcMar>
              <w:top w:w="100" w:type="dxa"/>
              <w:start w:w="140" w:type="dxa"/>
              <w:bottom w:w="100" w:type="dxa"/>
              <w:end w:w="140" w:type="dxa"/>
            </w:tcMar>
          </w:tcPr>
          <w:p>
            <w:pPr>
              <w:pStyle w:val="TableText"/>
            </w:pPr>
            <w:r>
              <w:rPr>
                <w:rFonts w:ascii="Calibri" w:hAnsi="Calibri"/>
                <w:b/>
              </w:rPr>
              <w:t>Roadmap / do not sell as already finished</w:t>
            </w:r>
          </w:p>
        </w:tc>
      </w:tr>
      <w:tr>
        <w:tc>
          <w:tcPr>
            <w:tcW w:w="4680" w:type="dxa"/>
            <w:shd w:fill="FFFFFF"/>
            <w:tcMar>
              <w:top w:w="100" w:type="dxa"/>
              <w:start w:w="140" w:type="dxa"/>
              <w:bottom w:w="100" w:type="dxa"/>
              <w:end w:w="140" w:type="dxa"/>
            </w:tcMar>
          </w:tcPr>
          <w:p>
            <w:pPr>
              <w:pStyle w:val="TableText"/>
            </w:pPr>
            <w:r>
              <w:rPr>
                <w:rFonts w:ascii="Calibri" w:hAnsi="Calibri"/>
              </w:rPr>
              <w:t>Notices with expiry; acknowledgements; meeting reminders; Yes/Maybe/No responses; summaries, decisions, attendance counts, QR links, explicit browser Bluetooth/proximity check-ins; contribution-purpose and proof-review language; support/loan and guarantor lanes; Demand Box; Spotlight; marketplace/shop visibility; Trust Events, Trust Passport, TrustSlip, privacy boundaries; Community Domain period summaries; sponsor-safe copy-ready export; deployed Prepare Community Value PDF action.</w:t>
            </w:r>
          </w:p>
        </w:tc>
        <w:tc>
          <w:tcPr>
            <w:tcW w:w="4680" w:type="dxa"/>
            <w:shd w:fill="FFFFFF"/>
            <w:tcMar>
              <w:top w:w="100" w:type="dxa"/>
              <w:start w:w="140" w:type="dxa"/>
              <w:bottom w:w="100" w:type="dxa"/>
              <w:end w:w="140" w:type="dxa"/>
            </w:tcMar>
          </w:tcPr>
          <w:p>
            <w:pPr>
              <w:pStyle w:val="TableText"/>
            </w:pPr>
            <w:r>
              <w:rPr>
                <w:rFonts w:ascii="Calibri" w:hAnsi="Calibri"/>
              </w:rPr>
              <w:t>Silent/background Bluetooth attendance; fraud-proof location or presence proof; formal minutes voting/ratification; automatic bank reconciliation; provider-backed WhatsApp/SMS/email sending; full large-scale picture/video archive; ICA-specific grant narrative template; custom-date UI beyond Last 7 days, This month, and Last 30 days; automatic decisions, trust scores, creditworthiness claims, or behaviour guarantees.</w:t>
            </w:r>
          </w:p>
        </w:tc>
      </w:tr>
    </w:tbl>
    <w:p>
      <w:pPr>
        <w:pStyle w:val="Body"/>
        <w:spacing w:before="0" w:after="90"/>
      </w:pPr>
      <w:r>
        <w:rPr>
          <w:rFonts w:ascii="Calibri" w:hAnsi="Calibri"/>
        </w:rPr>
        <w:t/>
      </w:r>
    </w:p>
    <w:p>
      <w:pPr>
        <w:pStyle w:val="Heading1"/>
        <w:keepNext/>
      </w:pPr>
      <w:r>
        <w:rPr>
          <w:rFonts w:ascii="Calibri" w:hAnsi="Calibri"/>
          <w:b/>
          <w:color w:val="2E74B5"/>
          <w:sz w:val="32"/>
          <w:szCs w:val="32"/>
        </w:rPr>
        <w:t>7. Suggested 20-Minute Session</w:t>
      </w:r>
    </w:p>
    <w:p>
      <w:pPr>
        <w:pStyle w:val="Body"/>
        <w:numPr>
          <w:ilvl w:val="0"/>
          <w:numId w:val="2"/>
        </w:numPr>
        <w:spacing w:after="80" w:line="300" w:lineRule="auto"/>
      </w:pPr>
      <w:r>
        <w:rPr>
          <w:rFonts w:ascii="Calibri" w:hAnsi="Calibri"/>
        </w:rPr>
        <w:t>0-2 minutes: Respect, context, no-sales boundary.</w:t>
      </w:r>
    </w:p>
    <w:p>
      <w:pPr>
        <w:pStyle w:val="Body"/>
        <w:numPr>
          <w:ilvl w:val="0"/>
          <w:numId w:val="2"/>
        </w:numPr>
        <w:spacing w:after="80" w:line="300" w:lineRule="auto"/>
      </w:pPr>
      <w:r>
        <w:rPr>
          <w:rFonts w:ascii="Calibri" w:hAnsi="Calibri"/>
        </w:rPr>
        <w:t>2-6 minutes: How ICA works today.</w:t>
      </w:r>
    </w:p>
    <w:p>
      <w:pPr>
        <w:pStyle w:val="Body"/>
        <w:numPr>
          <w:ilvl w:val="0"/>
          <w:numId w:val="2"/>
        </w:numPr>
        <w:spacing w:after="80" w:line="300" w:lineRule="auto"/>
      </w:pPr>
      <w:r>
        <w:rPr>
          <w:rFonts w:ascii="Calibri" w:hAnsi="Calibri"/>
        </w:rPr>
        <w:t>6-10 minutes: One real ICA decision and recent example.</w:t>
      </w:r>
    </w:p>
    <w:p>
      <w:pPr>
        <w:pStyle w:val="Body"/>
        <w:numPr>
          <w:ilvl w:val="0"/>
          <w:numId w:val="2"/>
        </w:numPr>
        <w:spacing w:after="80" w:line="300" w:lineRule="auto"/>
      </w:pPr>
      <w:r>
        <w:rPr>
          <w:rFonts w:ascii="Calibri" w:hAnsi="Calibri"/>
        </w:rPr>
        <w:t>10-13 minutes: Authority, privacy, and refusal risk.</w:t>
      </w:r>
    </w:p>
    <w:p>
      <w:pPr>
        <w:pStyle w:val="Body"/>
        <w:numPr>
          <w:ilvl w:val="0"/>
          <w:numId w:val="2"/>
        </w:numPr>
        <w:spacing w:after="80" w:line="300" w:lineRule="auto"/>
      </w:pPr>
      <w:r>
        <w:rPr>
          <w:rFonts w:ascii="Calibri" w:hAnsi="Calibri"/>
        </w:rPr>
        <w:t>13-18 minutes: Brief GSN explanation, four-story choice, and three-engine fit test.</w:t>
      </w:r>
    </w:p>
    <w:p>
      <w:pPr>
        <w:pStyle w:val="Body"/>
        <w:numPr>
          <w:ilvl w:val="0"/>
          <w:numId w:val="2"/>
        </w:numPr>
        <w:spacing w:after="80" w:line="300" w:lineRule="auto"/>
      </w:pPr>
      <w:r>
        <w:rPr>
          <w:rFonts w:ascii="Calibri" w:hAnsi="Calibri"/>
        </w:rPr>
        <w:t>18-20 minutes: Feedback sheet, tester invitation, stop.</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FF8E8"/>
            <w:tcMar>
              <w:top w:w="100" w:type="dxa"/>
              <w:start w:w="140" w:type="dxa"/>
              <w:bottom w:w="100" w:type="dxa"/>
              <w:end w:w="140" w:type="dxa"/>
            </w:tcMar>
          </w:tcPr>
          <w:p>
            <w:pPr>
              <w:pStyle w:val="CalloutLabel"/>
            </w:pPr>
            <w:r>
              <w:rPr>
                <w:rFonts w:ascii="Calibri" w:hAnsi="Calibri"/>
              </w:rPr>
              <w:t>Hard rule</w:t>
            </w:r>
          </w:p>
          <w:p>
            <w:pPr>
              <w:pStyle w:val="CalloutBody"/>
            </w:pPr>
            <w:r>
              <w:rPr>
                <w:rFonts w:ascii="Calibri" w:hAnsi="Calibri"/>
              </w:rPr>
              <w:t>At minute 13, move to GSN. At minute 20, stop. The final 5 minutes are product discovery, not a full feature tour.</w:t>
            </w:r>
          </w:p>
        </w:tc>
      </w:tr>
    </w:tbl>
    <w:p>
      <w:pPr>
        <w:pStyle w:val="Body"/>
        <w:spacing w:before="0" w:after="90"/>
      </w:pPr>
      <w:r>
        <w:rPr>
          <w:rFonts w:ascii="Calibri" w:hAnsi="Calibri"/>
        </w:rPr>
        <w:t/>
      </w:r>
    </w:p>
    <w:p>
      <w:r>
        <w:br w:type="page"/>
      </w:r>
    </w:p>
    <w:p>
      <w:pPr>
        <w:pStyle w:val="Heading1"/>
        <w:keepNext/>
      </w:pPr>
      <w:r>
        <w:rPr>
          <w:rFonts w:ascii="Calibri" w:hAnsi="Calibri"/>
          <w:b/>
          <w:color w:val="2E74B5"/>
          <w:sz w:val="32"/>
          <w:szCs w:val="32"/>
        </w:rPr>
        <w:t>8. Participant Feedback Sheet</w:t>
      </w:r>
    </w:p>
    <w:p>
      <w:pPr>
        <w:pStyle w:val="Body"/>
      </w:pPr>
      <w:r>
        <w:rPr>
          <w:rFonts w:ascii="Calibri" w:hAnsi="Calibri"/>
        </w:rPr>
        <w:t>Use this page to collect signal. It is not adoption evidence by itself. It is useful only if it reveals one real decision, one evidence source, one confirmation authority, one privacy boundary, one refusal risk, and one first workflow.</w:t>
      </w:r>
    </w:p>
    <w:p>
      <w:pPr>
        <w:pStyle w:val="Heading2"/>
        <w:keepNext/>
      </w:pPr>
      <w:r>
        <w:rPr>
          <w:rFonts w:ascii="Calibri" w:hAnsi="Calibri"/>
          <w:b/>
          <w:color w:val="2E74B5"/>
          <w:sz w:val="26"/>
          <w:szCs w:val="26"/>
        </w:rPr>
        <w:t>Part A: ICA First</w:t>
      </w:r>
    </w:p>
    <w:p>
      <w:pPr>
        <w:pStyle w:val="Body"/>
        <w:numPr>
          <w:ilvl w:val="0"/>
          <w:numId w:val="2"/>
        </w:numPr>
        <w:spacing w:after="80" w:line="300" w:lineRule="auto"/>
      </w:pPr>
      <w:r>
        <w:rPr>
          <w:rFonts w:ascii="Calibri" w:hAnsi="Calibri"/>
        </w:rPr>
        <w:t>How does ICA currently know who is active, reliable, helpful, responsible, or safe to recommend?</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Where does that evidence live today: memory, WhatsApp, officer records, contribution lists, event attendance, or personal relationships?</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What is one real ICA decision where better evidence or community memory would help?</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Which pain does that decision belong to most: administrative, verification, economic opportunity, or cultural/community memory?</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Who should be allowed to confirm the evidence?</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What must never be public or visible to ordinary members?</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What would make ICA refuse to use a system like this?</w:t>
      </w:r>
    </w:p>
    <w:p>
      <w:pPr>
        <w:pStyle w:val="Body"/>
        <w:spacing w:before="0" w:after="120"/>
      </w:pPr>
      <w:r>
        <w:rPr>
          <w:rFonts w:ascii="Calibri" w:hAnsi="Calibri"/>
        </w:rPr>
        <w:t>Response: ________________________________________________________________</w:t>
      </w:r>
    </w:p>
    <w:p>
      <w:pPr>
        <w:pStyle w:val="Heading2"/>
        <w:keepNext/>
      </w:pPr>
      <w:r>
        <w:rPr>
          <w:rFonts w:ascii="Calibri" w:hAnsi="Calibri"/>
          <w:b/>
          <w:color w:val="2E74B5"/>
          <w:sz w:val="26"/>
          <w:szCs w:val="26"/>
        </w:rPr>
        <w:t>Part B: After The Brief GSN Explanation</w:t>
      </w:r>
    </w:p>
    <w:p>
      <w:pPr>
        <w:pStyle w:val="Body"/>
        <w:numPr>
          <w:ilvl w:val="0"/>
          <w:numId w:val="2"/>
        </w:numPr>
        <w:spacing w:after="80" w:line="300" w:lineRule="auto"/>
      </w:pPr>
      <w:r>
        <w:rPr>
          <w:rFonts w:ascii="Calibri" w:hAnsi="Calibri"/>
        </w:rPr>
        <w:t>Based only on the one ICA decision named, GSN sounds: Useful / Unnecessary / Risky / Unclear.</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What must GSN show?</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What must GSN hide?</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If ICA tested only one workflow first, which one would you choose?</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Which attractive idea should be treated as future or limited, not over-promised today?</w:t>
      </w:r>
    </w:p>
    <w:p>
      <w:pPr>
        <w:pStyle w:val="Body"/>
        <w:spacing w:before="0" w:after="120"/>
      </w:pPr>
      <w:r>
        <w:rPr>
          <w:rFonts w:ascii="Calibri" w:hAnsi="Calibri"/>
        </w:rPr>
        <w:t>Response: ________________________________________________________________</w:t>
      </w:r>
    </w:p>
    <w:p>
      <w:pPr>
        <w:pStyle w:val="Body"/>
        <w:numPr>
          <w:ilvl w:val="0"/>
          <w:numId w:val="2"/>
        </w:numPr>
        <w:spacing w:after="80" w:line="300" w:lineRule="auto"/>
      </w:pPr>
      <w:r>
        <w:rPr>
          <w:rFonts w:ascii="Calibri" w:hAnsi="Calibri"/>
        </w:rPr>
        <w:t>Would you be open to a longer conversation only if this one decision is worth exploring: Yes / Maybe / No?</w:t>
      </w:r>
    </w:p>
    <w:p>
      <w:pPr>
        <w:pStyle w:val="Body"/>
        <w:spacing w:before="0" w:after="120"/>
      </w:pPr>
      <w:r>
        <w:rPr>
          <w:rFonts w:ascii="Calibri" w:hAnsi="Calibri"/>
        </w:rPr>
        <w:t>Response: ________________________________________________________________</w:t>
      </w:r>
    </w:p>
    <w:p>
      <w:pPr>
        <w:pStyle w:val="Heading1"/>
        <w:keepNext/>
      </w:pPr>
      <w:r>
        <w:rPr>
          <w:rFonts w:ascii="Calibri" w:hAnsi="Calibri"/>
          <w:b/>
          <w:color w:val="2E74B5"/>
          <w:sz w:val="32"/>
          <w:szCs w:val="32"/>
        </w:rPr>
        <w:t>9. Recommended 30-Day Pilot Shape</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2200"/>
        <w:gridCol w:w="7160"/>
      </w:tblGrid>
      <w:tr>
        <w:trPr>
          <w:tblHeader/>
        </w:trPr>
        <w:tc>
          <w:tcPr>
            <w:tcW w:w="2200" w:type="dxa"/>
            <w:shd w:fill="E8EEF5"/>
            <w:tcMar>
              <w:top w:w="100" w:type="dxa"/>
              <w:start w:w="140" w:type="dxa"/>
              <w:bottom w:w="100" w:type="dxa"/>
              <w:end w:w="140" w:type="dxa"/>
            </w:tcMar>
          </w:tcPr>
          <w:p>
            <w:pPr>
              <w:pStyle w:val="TableText"/>
            </w:pPr>
            <w:r>
              <w:rPr>
                <w:rFonts w:ascii="Calibri" w:hAnsi="Calibri"/>
                <w:b/>
              </w:rPr>
              <w:t>Decision</w:t>
            </w:r>
          </w:p>
        </w:tc>
        <w:tc>
          <w:tcPr>
            <w:tcW w:w="7160" w:type="dxa"/>
            <w:shd w:fill="E8EEF5"/>
            <w:tcMar>
              <w:top w:w="100" w:type="dxa"/>
              <w:start w:w="140" w:type="dxa"/>
              <w:bottom w:w="100" w:type="dxa"/>
              <w:end w:w="140" w:type="dxa"/>
            </w:tcMar>
          </w:tcPr>
          <w:p>
            <w:pPr>
              <w:pStyle w:val="TableText"/>
            </w:pPr>
            <w:r>
              <w:rPr>
                <w:rFonts w:ascii="Calibri" w:hAnsi="Calibri"/>
                <w:b/>
              </w:rPr>
              <w:t>Recommendation</w:t>
            </w:r>
          </w:p>
        </w:tc>
      </w:tr>
      <w:tr>
        <w:tc>
          <w:tcPr>
            <w:tcW w:w="2200" w:type="dxa"/>
            <w:shd w:fill="FFFFFF"/>
            <w:tcMar>
              <w:top w:w="100" w:type="dxa"/>
              <w:start w:w="140" w:type="dxa"/>
              <w:bottom w:w="100" w:type="dxa"/>
              <w:end w:w="140" w:type="dxa"/>
            </w:tcMar>
          </w:tcPr>
          <w:p>
            <w:pPr>
              <w:pStyle w:val="TableText"/>
            </w:pPr>
            <w:r>
              <w:rPr>
                <w:rFonts w:ascii="Calibri" w:hAnsi="Calibri"/>
              </w:rPr>
              <w:t>Participants</w:t>
            </w:r>
          </w:p>
        </w:tc>
        <w:tc>
          <w:tcPr>
            <w:tcW w:w="7160" w:type="dxa"/>
            <w:shd w:fill="FFFFFF"/>
            <w:tcMar>
              <w:top w:w="100" w:type="dxa"/>
              <w:start w:w="140" w:type="dxa"/>
              <w:bottom w:w="100" w:type="dxa"/>
              <w:end w:w="140" w:type="dxa"/>
            </w:tcMar>
          </w:tcPr>
          <w:p>
            <w:pPr>
              <w:pStyle w:val="TableText"/>
            </w:pPr>
            <w:r>
              <w:rPr>
                <w:rFonts w:ascii="Calibri" w:hAnsi="Calibri"/>
              </w:rPr>
              <w:t>Executives plus a small group of ordinary members.</w:t>
            </w:r>
          </w:p>
        </w:tc>
      </w:tr>
      <w:tr>
        <w:tc>
          <w:tcPr>
            <w:tcW w:w="2200" w:type="dxa"/>
            <w:shd w:fill="FFFFFF"/>
            <w:tcMar>
              <w:top w:w="100" w:type="dxa"/>
              <w:start w:w="140" w:type="dxa"/>
              <w:bottom w:w="100" w:type="dxa"/>
              <w:end w:w="140" w:type="dxa"/>
            </w:tcMar>
          </w:tcPr>
          <w:p>
            <w:pPr>
              <w:pStyle w:val="TableText"/>
            </w:pPr>
            <w:r>
              <w:rPr>
                <w:rFonts w:ascii="Calibri" w:hAnsi="Calibri"/>
              </w:rPr>
              <w:t>Workflow</w:t>
            </w:r>
          </w:p>
        </w:tc>
        <w:tc>
          <w:tcPr>
            <w:tcW w:w="7160" w:type="dxa"/>
            <w:shd w:fill="FFFFFF"/>
            <w:tcMar>
              <w:top w:w="100" w:type="dxa"/>
              <w:start w:w="140" w:type="dxa"/>
              <w:bottom w:w="100" w:type="dxa"/>
              <w:end w:w="140" w:type="dxa"/>
            </w:tcMar>
          </w:tcPr>
          <w:p>
            <w:pPr>
              <w:pStyle w:val="TableText"/>
            </w:pPr>
            <w:r>
              <w:rPr>
                <w:rFonts w:ascii="Calibri" w:hAnsi="Calibri"/>
              </w:rPr>
              <w:t>One or two high-value ICA processes only.</w:t>
            </w:r>
          </w:p>
        </w:tc>
      </w:tr>
      <w:tr>
        <w:tc>
          <w:tcPr>
            <w:tcW w:w="2200" w:type="dxa"/>
            <w:shd w:fill="FFFFFF"/>
            <w:tcMar>
              <w:top w:w="100" w:type="dxa"/>
              <w:start w:w="140" w:type="dxa"/>
              <w:bottom w:w="100" w:type="dxa"/>
              <w:end w:w="140" w:type="dxa"/>
            </w:tcMar>
          </w:tcPr>
          <w:p>
            <w:pPr>
              <w:pStyle w:val="TableText"/>
            </w:pPr>
            <w:r>
              <w:rPr>
                <w:rFonts w:ascii="Calibri" w:hAnsi="Calibri"/>
              </w:rPr>
              <w:t>Review</w:t>
            </w:r>
          </w:p>
        </w:tc>
        <w:tc>
          <w:tcPr>
            <w:tcW w:w="7160" w:type="dxa"/>
            <w:shd w:fill="FFFFFF"/>
            <w:tcMar>
              <w:top w:w="100" w:type="dxa"/>
              <w:start w:w="140" w:type="dxa"/>
              <w:bottom w:w="100" w:type="dxa"/>
              <w:end w:w="140" w:type="dxa"/>
            </w:tcMar>
          </w:tcPr>
          <w:p>
            <w:pPr>
              <w:pStyle w:val="TableText"/>
            </w:pPr>
            <w:r>
              <w:rPr>
                <w:rFonts w:ascii="Calibri" w:hAnsi="Calibri"/>
              </w:rPr>
              <w:t>After 2 weeks and after 30 days.</w:t>
            </w:r>
          </w:p>
        </w:tc>
      </w:tr>
      <w:tr>
        <w:tc>
          <w:tcPr>
            <w:tcW w:w="2200" w:type="dxa"/>
            <w:shd w:fill="FFFFFF"/>
            <w:tcMar>
              <w:top w:w="100" w:type="dxa"/>
              <w:start w:w="140" w:type="dxa"/>
              <w:bottom w:w="100" w:type="dxa"/>
              <w:end w:w="140" w:type="dxa"/>
            </w:tcMar>
          </w:tcPr>
          <w:p>
            <w:pPr>
              <w:pStyle w:val="TableText"/>
            </w:pPr>
            <w:r>
              <w:rPr>
                <w:rFonts w:ascii="Calibri" w:hAnsi="Calibri"/>
              </w:rPr>
              <w:t>Decision</w:t>
            </w:r>
          </w:p>
        </w:tc>
        <w:tc>
          <w:tcPr>
            <w:tcW w:w="7160" w:type="dxa"/>
            <w:shd w:fill="FFFFFF"/>
            <w:tcMar>
              <w:top w:w="100" w:type="dxa"/>
              <w:start w:w="140" w:type="dxa"/>
              <w:bottom w:w="100" w:type="dxa"/>
              <w:end w:w="140" w:type="dxa"/>
            </w:tcMar>
          </w:tcPr>
          <w:p>
            <w:pPr>
              <w:pStyle w:val="TableText"/>
            </w:pPr>
            <w:r>
              <w:rPr>
                <w:rFonts w:ascii="Calibri" w:hAnsi="Calibri"/>
              </w:rPr>
              <w:t>Continue, change, narrow, or stop.</w:t>
            </w:r>
          </w:p>
        </w:tc>
      </w:tr>
      <w:tr>
        <w:tc>
          <w:tcPr>
            <w:tcW w:w="2200" w:type="dxa"/>
            <w:shd w:fill="FFFFFF"/>
            <w:tcMar>
              <w:top w:w="100" w:type="dxa"/>
              <w:start w:w="140" w:type="dxa"/>
              <w:bottom w:w="100" w:type="dxa"/>
              <w:end w:w="140" w:type="dxa"/>
            </w:tcMar>
          </w:tcPr>
          <w:p>
            <w:pPr>
              <w:pStyle w:val="TableText"/>
            </w:pPr>
            <w:r>
              <w:rPr>
                <w:rFonts w:ascii="Calibri" w:hAnsi="Calibri"/>
              </w:rPr>
              <w:t>Success signal</w:t>
            </w:r>
          </w:p>
        </w:tc>
        <w:tc>
          <w:tcPr>
            <w:tcW w:w="7160" w:type="dxa"/>
            <w:shd w:fill="FFFFFF"/>
            <w:tcMar>
              <w:top w:w="100" w:type="dxa"/>
              <w:start w:w="140" w:type="dxa"/>
              <w:bottom w:w="100" w:type="dxa"/>
              <w:end w:w="140" w:type="dxa"/>
            </w:tcMar>
          </w:tcPr>
          <w:p>
            <w:pPr>
              <w:pStyle w:val="TableText"/>
            </w:pPr>
            <w:r>
              <w:rPr>
                <w:rFonts w:ascii="Calibri" w:hAnsi="Calibri"/>
              </w:rPr>
              <w:t>Members know where official information lives, executives chase less, records are clearer, privacy is respected, and members see practical or economic value.</w:t>
            </w:r>
          </w:p>
        </w:tc>
      </w:tr>
    </w:tbl>
    <w:p>
      <w:pPr>
        <w:pStyle w:val="Body"/>
        <w:spacing w:before="0" w:after="90"/>
      </w:pPr>
      <w:r>
        <w:rPr>
          <w:rFonts w:ascii="Calibri" w:hAnsi="Calibri"/>
        </w:rPr>
        <w:t/>
      </w:r>
    </w:p>
    <w:p>
      <w:pPr>
        <w:pStyle w:val="Heading1"/>
        <w:keepNext/>
      </w:pPr>
      <w:r>
        <w:rPr>
          <w:rFonts w:ascii="Calibri" w:hAnsi="Calibri"/>
          <w:b/>
          <w:color w:val="2E74B5"/>
          <w:sz w:val="32"/>
          <w:szCs w:val="32"/>
        </w:rPr>
        <w:t>10. Final Decision Questions</w:t>
      </w:r>
    </w:p>
    <w:p>
      <w:pPr>
        <w:pStyle w:val="Body"/>
        <w:numPr>
          <w:ilvl w:val="0"/>
          <w:numId w:val="1"/>
        </w:numPr>
        <w:spacing w:after="80" w:line="300" w:lineRule="auto"/>
      </w:pPr>
      <w:r>
        <w:rPr>
          <w:rFonts w:ascii="Calibri" w:hAnsi="Calibri"/>
        </w:rPr>
        <w:t>Which of the four pains is strongest for ICA now?</w:t>
      </w:r>
    </w:p>
    <w:p>
      <w:pPr>
        <w:pStyle w:val="Body"/>
        <w:numPr>
          <w:ilvl w:val="0"/>
          <w:numId w:val="1"/>
        </w:numPr>
        <w:spacing w:after="80" w:line="300" w:lineRule="auto"/>
      </w:pPr>
      <w:r>
        <w:rPr>
          <w:rFonts w:ascii="Calibri" w:hAnsi="Calibri"/>
        </w:rPr>
        <w:t>Which one workflow would ICA test first?</w:t>
      </w:r>
    </w:p>
    <w:p>
      <w:pPr>
        <w:pStyle w:val="Body"/>
        <w:numPr>
          <w:ilvl w:val="0"/>
          <w:numId w:val="1"/>
        </w:numPr>
        <w:spacing w:after="80" w:line="300" w:lineRule="auto"/>
      </w:pPr>
      <w:r>
        <w:rPr>
          <w:rFonts w:ascii="Calibri" w:hAnsi="Calibri"/>
        </w:rPr>
        <w:t>Who has authority to confirm the record?</w:t>
      </w:r>
    </w:p>
    <w:p>
      <w:pPr>
        <w:pStyle w:val="Body"/>
        <w:numPr>
          <w:ilvl w:val="0"/>
          <w:numId w:val="1"/>
        </w:numPr>
        <w:spacing w:after="80" w:line="300" w:lineRule="auto"/>
      </w:pPr>
      <w:r>
        <w:rPr>
          <w:rFonts w:ascii="Calibri" w:hAnsi="Calibri"/>
        </w:rPr>
        <w:t>What must stay private or sponsor-safe only?</w:t>
      </w:r>
    </w:p>
    <w:p>
      <w:pPr>
        <w:pStyle w:val="Body"/>
        <w:numPr>
          <w:ilvl w:val="0"/>
          <w:numId w:val="1"/>
        </w:numPr>
        <w:spacing w:after="80" w:line="300" w:lineRule="auto"/>
      </w:pPr>
      <w:r>
        <w:rPr>
          <w:rFonts w:ascii="Calibri" w:hAnsi="Calibri"/>
        </w:rPr>
        <w:t>What would make members refuse or stop using it?</w:t>
      </w:r>
    </w:p>
    <w:p>
      <w:pPr>
        <w:pStyle w:val="Body"/>
        <w:numPr>
          <w:ilvl w:val="0"/>
          <w:numId w:val="1"/>
        </w:numPr>
        <w:spacing w:after="80" w:line="300" w:lineRule="auto"/>
      </w:pPr>
      <w:r>
        <w:rPr>
          <w:rFonts w:ascii="Calibri" w:hAnsi="Calibri"/>
        </w:rPr>
        <w:t>Is there enough pull for a narrow pilot, or only polite interest?</w:t>
      </w:r>
    </w:p>
    <w:tbl>
      <w:tblPr>
        <w:tblW w:w="9360" w:type="dxa"/>
        <w:tblInd w:w="120" w:type="dxa"/>
        <w:tblBorders>
          <w:top w:val="single" w:sz="4" w:color="D7DBE2"/>
          <w:left w:val="single" w:sz="4" w:color="D7DBE2"/>
          <w:bottom w:val="single" w:sz="4" w:color="D7DBE2"/>
          <w:right w:val="single" w:sz="4" w:color="D7DBE2"/>
          <w:insideH w:val="single" w:sz="4" w:color="D7DBE2"/>
          <w:insideV w:val="single" w:sz="4" w:color="D7DBE2"/>
        </w:tblBorders>
        <w:tblLayout w:type="fixed"/>
      </w:tblPr>
      <w:tblGrid>
        <w:gridCol w:w="9360"/>
      </w:tblGrid>
      <w:tr>
        <w:tc>
          <w:tcPr>
            <w:tcW w:w="9360" w:type="dxa"/>
            <w:shd w:fill="F4F6F9"/>
            <w:tcMar>
              <w:top w:w="100" w:type="dxa"/>
              <w:start w:w="140" w:type="dxa"/>
              <w:bottom w:w="100" w:type="dxa"/>
              <w:end w:w="140" w:type="dxa"/>
            </w:tcMar>
          </w:tcPr>
          <w:p>
            <w:pPr>
              <w:pStyle w:val="CalloutLabel"/>
            </w:pPr>
            <w:r>
              <w:rPr>
                <w:rFonts w:ascii="Calibri" w:hAnsi="Calibri"/>
              </w:rPr>
              <w:t>Unabated truth</w:t>
            </w:r>
          </w:p>
          <w:p>
            <w:pPr>
              <w:pStyle w:val="CalloutBody"/>
            </w:pPr>
            <w:r>
              <w:rPr>
                <w:rFonts w:ascii="Calibri" w:hAnsi="Calibri"/>
              </w:rPr>
              <w:t>GSN is strong enough to demonstrate the association operating-system story, including a real Community Value PDF generated from recorded facts. But the strongest pilot must still begin with one pain, one workflow, one authority model, and one privacy boundary.</w:t>
            </w:r>
          </w:p>
        </w:tc>
      </w:tr>
    </w:tbl>
    <w:p>
      <w:pPr>
        <w:pStyle w:val="Body"/>
        <w:spacing w:before="0" w:after="90"/>
      </w:pPr>
      <w:r>
        <w:rPr>
          <w:rFonts w:ascii="Calibri" w:hAnsi="Calibri"/>
        </w:rPr>
        <w:t/>
      </w:r>
    </w:p>
    <w:sectPr>
      <w:headerReference w:type="default" r:id="rId1"/>
      <w:footerReference w:type="default" r:id="rId2"/>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jc w:val="center"/>
      <w:spacing w:before="80"/>
    </w:pPr>
    <w:r>
      <w:rPr>
        <w:rFonts w:ascii="Calibri" w:hAnsi="Calibri"/>
        <w:color w:val="666666"/>
        <w:sz w:val="16"/>
        <w:szCs w:val="16"/>
      </w:rPr>
      <w:t>Prepared for discovery use only | Records must come from GSN activity</w:t>
    </w:r>
  </w:p>
</w:ftr>
</file>

<file path=word/header1.xml><?xml version="1.0" encoding="utf-8"?>
<w:hdr xmlns:w="http://schemas.openxmlformats.org/wordprocessingml/2006/main">
  <w:p>
    <w:pPr>
      <w:spacing w:after="80"/>
      <w:pBdr>
        <w:bottom w:val="single" w:sz="4" w:space="1" w:color="D7DBE2"/>
      </w:pBdr>
    </w:pPr>
    <w:r>
      <w:rPr>
        <w:rFonts w:ascii="Calibri" w:hAnsi="Calibri"/>
        <w:b/>
        <w:color w:val="666666"/>
        <w:sz w:val="18"/>
        <w:szCs w:val="18"/>
      </w:rPr>
      <w:t>GSN | ICA Aberdeen External Leave-Behind Pack</w:t>
    </w:r>
  </w:p>
</w:hdr>
</file>

<file path=word/numbering.xml><?xml version="1.0" encoding="utf-8"?>
<w:numbering xmlns:w="http://schemas.openxmlformats.org/wordprocessingml/2006/main">
  <w:abstractNum w:abstractNumId="1">
    <w:lvl w:ilvl="0">
      <w:start w:val="1"/>
      <w:numFmt w:val="bullet"/>
      <w:lvlText w:val="•"/>
      <w:pPr>
        <w:tabs>
          <w:tab w:val="num" w:pos="540"/>
        </w:tabs>
        <w:ind w:left="540" w:hanging="270"/>
      </w:pPr>
    </w:lvl>
  </w:abstractNum>
  <w:num w:numId="1">
    <w:abstractNumId w:val="1"/>
  </w:num>
  <w:abstractNum w:abstractNumId="2">
    <w:lvl w:ilvl="0">
      <w:start w:val="1"/>
      <w:numFmt w:val="decimal"/>
      <w:lvlText w:val="%1."/>
      <w:pPr>
        <w:tabs>
          <w:tab w:val="num" w:pos="540"/>
        </w:tabs>
        <w:ind w:left="540" w:hanging="270"/>
      </w:pPr>
    </w:lvl>
  </w:abstractNum>
  <w:num w:numId="2">
    <w:abstractNumId w:val="2"/>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Body">
    <w:name w:val="Body"/>
    <w:qFormat/>
    <w:pPr>
      <w:spacing w:after="120" w:line="300" w:lineRule="auto"/>
    </w:pPr>
    <w:rPr>
      <w:rFonts w:ascii="Calibri" w:hAnsi="Calibri"/>
      <w:sz w:val="22"/>
      <w:color w:val="111111"/>
    </w:rPr>
  </w:style>
  <w:style w:type="paragraph" w:styleId="Title">
    <w:name w:val="Title"/>
    <w:qFormat/>
    <w:pPr>
      <w:spacing w:before="0" w:after="160"/>
      <w:jc w:val="left"/>
    </w:pPr>
    <w:rPr>
      <w:rFonts w:ascii="Calibri" w:hAnsi="Calibri"/>
      <w:b/>
      <w:sz w:val="58"/>
      <w:color w:val="0B2545"/>
    </w:rPr>
  </w:style>
  <w:style w:type="paragraph" w:styleId="Subtitle">
    <w:name w:val="Subtitle"/>
    <w:qFormat/>
    <w:pPr>
      <w:spacing w:after="360" w:line="300" w:lineRule="auto"/>
    </w:pPr>
    <w:rPr>
      <w:rFonts w:ascii="Calibri" w:hAnsi="Calibri"/>
      <w:sz w:val="27"/>
      <w:color w:val="666666"/>
    </w:rPr>
  </w:style>
  <w:style w:type="paragraph" w:styleId="Heading1">
    <w:name w:val="heading 1"/>
    <w:basedOn w:val="Body"/>
    <w:next w:val="Body"/>
    <w:qFormat/>
    <w:pPr>
      <w:keepNext/>
      <w:spacing w:before="360" w:after="200"/>
    </w:pPr>
    <w:rPr>
      <w:rFonts w:ascii="Calibri" w:hAnsi="Calibri"/>
      <w:b/>
      <w:sz w:val="32"/>
      <w:color w:val="2E74B5"/>
    </w:rPr>
  </w:style>
  <w:style w:type="paragraph" w:styleId="Heading2">
    <w:name w:val="heading 2"/>
    <w:basedOn w:val="Body"/>
    <w:next w:val="Body"/>
    <w:qFormat/>
    <w:pPr>
      <w:keepNext/>
      <w:spacing w:before="280" w:after="140"/>
    </w:pPr>
    <w:rPr>
      <w:rFonts w:ascii="Calibri" w:hAnsi="Calibri"/>
      <w:b/>
      <w:sz w:val="26"/>
      <w:color w:val="2E74B5"/>
    </w:rPr>
  </w:style>
  <w:style w:type="paragraph" w:styleId="Heading3">
    <w:name w:val="heading 3"/>
    <w:basedOn w:val="Body"/>
    <w:next w:val="Body"/>
    <w:qFormat/>
    <w:pPr>
      <w:keepNext/>
      <w:spacing w:before="200" w:after="100"/>
    </w:pPr>
    <w:rPr>
      <w:rFonts w:ascii="Calibri" w:hAnsi="Calibri"/>
      <w:b/>
      <w:sz w:val="24"/>
      <w:color w:val="1F4D78"/>
    </w:rPr>
  </w:style>
  <w:style w:type="paragraph" w:styleId="TableText">
    <w:name w:val="Table Text"/>
    <w:pPr>
      <w:spacing w:after="60" w:line="280" w:lineRule="auto"/>
    </w:pPr>
    <w:rPr>
      <w:rFonts w:ascii="Calibri" w:hAnsi="Calibri"/>
      <w:sz w:val="20"/>
      <w:color w:val="111111"/>
    </w:rPr>
  </w:style>
  <w:style w:type="paragraph" w:styleId="CalloutLabel">
    <w:name w:val="Callout Label"/>
    <w:pPr>
      <w:spacing w:after="60"/>
    </w:pPr>
    <w:rPr>
      <w:rFonts w:ascii="Calibri" w:hAnsi="Calibri"/>
      <w:b/>
      <w:sz w:val="22"/>
      <w:color w:val="0B2545"/>
    </w:rPr>
  </w:style>
  <w:style w:type="paragraph" w:styleId="CalloutBody">
    <w:name w:val="Callout Body"/>
    <w:pPr>
      <w:spacing w:after="60" w:line="290" w:lineRule="auto"/>
    </w:pPr>
    <w:rPr>
      <w:rFonts w:ascii="Calibri" w:hAnsi="Calibri"/>
      <w:sz w:val="21"/>
      <w:color w:val="111111"/>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numbering" Target="numbering.xml"/>
  <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Global Support Network</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GSN ICA Aberdeen External Leave-Behind Pack</dc:title>
  <dc:creator>Chuma Nwafor</dc:creator>
  <cp:lastModifiedBy>Codex</cp:lastModifiedBy>
  <dcterms:created xsi:type="dcterms:W3CDTF">2026-08-27T18:27:45Z</dcterms:created>
  <dcterms:modified xsi:type="dcterms:W3CDTF">2026-08-27T18:27:45Z</dcterms:modified>
</cp:coreProperties>
</file>