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B2545"/>
          <w:sz w:val="44"/>
        </w:rPr>
        <w:t>GSN Community Setup Pack: Client Handover Map (2026-09-14)</w:t>
      </w:r>
    </w:p>
    <w:p>
      <w:r>
        <w:t>Authenticity mark: GSN Original Community Setup Material | Source-controlled in gmfn_mvp/docs | Document date: 2026-09-14</w:t>
      </w:r>
    </w:p>
    <w:p>
      <w:r>
        <w:t>Document date: 2026-09-14</w:t>
      </w:r>
    </w:p>
    <w:p>
      <w:r>
        <w:t>Pack: GSN Community Setup Pack</w:t>
      </w:r>
    </w:p>
    <w:p>
      <w:r>
        <w:t>Authenticity mark: GSN original community setup material, source-controlled in `gmfn_mvp/docs`.</w:t>
      </w:r>
    </w:p>
    <w:p>
      <w:pPr>
        <w:pStyle w:val="Heading1"/>
      </w:pPr>
      <w:r>
        <w:rPr>
          <w:color w:val="0B2545"/>
        </w:rPr>
        <w:t>Who Receives What</w:t>
      </w:r>
    </w:p>
    <w:p>
      <w:r>
        <w:t>| Recipient | Send | Purpose |</w:t>
      </w:r>
    </w:p>
    <w:p>
      <w:r>
        <w:t>|---|---|---|</w:t>
      </w:r>
    </w:p>
    <w:p>
      <w:r>
        <w:t>| Sponsor, founder or senior leader | Setup guide PDF, selected audience copy, deployment pack index summary | Helps them understand what GSN sets up and what decisions still belong to the organisation. |</w:t>
      </w:r>
    </w:p>
    <w:p>
      <w:r>
        <w:t>| Community/domain admin | Setup guide DOCX/PDF, dependency map, route/recovery map | Helps them operate setup, member entry, notices, shop controls and recovery paths. |</w:t>
      </w:r>
    </w:p>
    <w:p>
      <w:r>
        <w:t>| Ordinary members | Member-safe setup guide sections, audience story copy, QR download sheet, live invite/QR link | Helps members join, respond, sell, ask, verify and recover without seeing internal tooling. |</w:t>
      </w:r>
    </w:p>
    <w:p>
      <w:r>
        <w:t>| Treasurer, welfare lead or finance steward | Setup guide sections on finance/trust/payment evidence plus route/recovery map | Helps them understand money/evidence boundaries without overclaiming payment automation. |</w:t>
      </w:r>
    </w:p>
    <w:p>
      <w:r>
        <w:t>| Shop or market coordinators | Shop setup, Public Shop, Spotlight, DemandBox and analytics sections | Helps sellers set up products/services and understand what counts as attention versus proof. |</w:t>
      </w:r>
    </w:p>
    <w:p>
      <w:r>
        <w:t>| External partner, funder or reviewer | Selected real-life copy, feature inventory summary, documentation issue register if formal due diligence is needed | Helps them see evidence discipline and current limits. |</w:t>
      </w:r>
    </w:p>
    <w:p>
      <w:pPr>
        <w:pStyle w:val="Heading1"/>
      </w:pPr>
      <w:r>
        <w:rPr>
          <w:color w:val="0B2545"/>
        </w:rPr>
        <w:t>Client Handover Bundle</w:t>
      </w:r>
    </w:p>
    <w:p>
      <w:r>
        <w:t>Minimum bundle:</w:t>
      </w:r>
    </w:p>
    <w:p>
      <w:pPr>
        <w:pStyle w:val="ListBullet"/>
      </w:pPr>
      <w:r>
        <w:t>`GSN_SELF_SERVICE_USER_GUIDE.pdf`</w:t>
      </w:r>
    </w:p>
    <w:p>
      <w:pPr>
        <w:pStyle w:val="ListBullet"/>
      </w:pPr>
      <w:r>
        <w:t>`GSN_COMMUNITY_SETUP_QR_DOWNLOAD_INDEX_2026-09-14.pdf` when people need phone scanning instead of typed links</w:t>
      </w:r>
    </w:p>
    <w:p>
      <w:pPr>
        <w:pStyle w:val="ListBullet"/>
      </w:pPr>
      <w:r>
        <w:t>one audience-specific real-life copy</w:t>
      </w:r>
    </w:p>
    <w:p>
      <w:pPr>
        <w:pStyle w:val="ListBullet"/>
      </w:pPr>
      <w:r>
        <w:t>one current live app invite/QR/member entry instruction generated from the actual community</w:t>
      </w:r>
    </w:p>
    <w:p>
      <w:pPr>
        <w:pStyle w:val="ListBullet"/>
      </w:pPr>
      <w:r>
        <w:t>support/recovery contact path</w:t>
      </w:r>
    </w:p>
    <w:p>
      <w:r>
        <w:t>Admin bundle:</w:t>
      </w:r>
    </w:p>
    <w:p>
      <w:pPr>
        <w:pStyle w:val="ListBullet"/>
      </w:pPr>
      <w:r>
        <w:t>minimum bundle</w:t>
      </w:r>
    </w:p>
    <w:p>
      <w:pPr>
        <w:pStyle w:val="ListBullet"/>
      </w:pPr>
      <w:r>
        <w:t>`GSN_FEATURE_DEPENDENCY_AND_SETUP_MAP.md`</w:t>
      </w:r>
    </w:p>
    <w:p>
      <w:pPr>
        <w:pStyle w:val="ListBullet"/>
      </w:pPr>
      <w:r>
        <w:t>`GSN_ROUTE_AND_RECOVERY_MAP.md`</w:t>
      </w:r>
    </w:p>
    <w:p>
      <w:pPr>
        <w:pStyle w:val="ListBullet"/>
      </w:pPr>
      <w:r>
        <w:t>relevant setup action plan for the client type</w:t>
      </w:r>
    </w:p>
    <w:p>
      <w:r>
        <w:t>Internal operator bundle:</w:t>
      </w:r>
    </w:p>
    <w:p>
      <w:pPr>
        <w:pStyle w:val="ListBullet"/>
      </w:pPr>
      <w:r>
        <w:t>admin bundle</w:t>
      </w:r>
    </w:p>
    <w:p>
      <w:pPr>
        <w:pStyle w:val="ListBullet"/>
      </w:pPr>
      <w:r>
        <w:t>`GSN_FEATURE_INVENTORY_AUDIT.md`</w:t>
      </w:r>
    </w:p>
    <w:p>
      <w:pPr>
        <w:pStyle w:val="ListBullet"/>
      </w:pPr>
      <w:r>
        <w:t>`GSN_DOCUMENTATION_ISSUE_REGISTER.md`</w:t>
      </w:r>
    </w:p>
    <w:p>
      <w:pPr>
        <w:pStyle w:val="ListBullet"/>
      </w:pPr>
      <w:r>
        <w:t>`GSN_IN_REAL_LIFE_MASTER_CAPABILITY_BANK.md`</w:t>
      </w:r>
    </w:p>
    <w:p>
      <w:pPr>
        <w:pStyle w:val="ListBullet"/>
      </w:pPr>
      <w:r>
        <w:t>`GSN_IN_REAL_LIFE_SELECTION_MAP.json`</w:t>
      </w:r>
    </w:p>
    <w:p>
      <w:pPr>
        <w:pStyle w:val="Heading1"/>
      </w:pPr>
      <w:r>
        <w:rPr>
          <w:color w:val="0B2545"/>
        </w:rPr>
        <w:t>Distribution Flow</w:t>
      </w:r>
    </w:p>
    <w:p>
      <w:pPr>
        <w:pStyle w:val="ListNumber"/>
      </w:pPr>
      <w:r>
        <w:t>Choose the audience type: church, school/youth, NGO/charity, cooperative/market/business, family/diaspora/association.</w:t>
      </w:r>
    </w:p>
    <w:p>
      <w:pPr>
        <w:pStyle w:val="ListNumber"/>
      </w:pPr>
      <w:r>
        <w:t>Send the audience copy first, not the full master bank.</w:t>
      </w:r>
    </w:p>
    <w:p>
      <w:pPr>
        <w:pStyle w:val="ListNumber"/>
      </w:pPr>
      <w:r>
        <w:t>Include the QR download index or the per-document QR page when the recipient may open the material on a phone.</w:t>
      </w:r>
    </w:p>
    <w:p>
      <w:pPr>
        <w:pStyle w:val="ListNumber"/>
      </w:pPr>
      <w:r>
        <w:t>Confirm what the group is actually setting up: identity only, member entry, bulletin, shop/marketplace, finance/trust, or full Community Domain.</w:t>
      </w:r>
    </w:p>
    <w:p>
      <w:pPr>
        <w:pStyle w:val="ListNumber"/>
      </w:pPr>
      <w:r>
        <w:t>Send the setup guide sections that match the confirmed setup.</w:t>
      </w:r>
    </w:p>
    <w:p>
      <w:pPr>
        <w:pStyle w:val="ListNumber"/>
      </w:pPr>
      <w:r>
        <w:t>Generate live invite/QR/contact links from the current app for that exact community.</w:t>
      </w:r>
    </w:p>
    <w:p>
      <w:pPr>
        <w:pStyle w:val="ListNumber"/>
      </w:pPr>
      <w:r>
        <w:t>Ask the client to distribute only member-safe material to members.</w:t>
      </w:r>
    </w:p>
    <w:p>
      <w:pPr>
        <w:pStyle w:val="ListNumber"/>
      </w:pPr>
      <w:r>
        <w:t>Keep internal inventory, issue register and source JSON inside the GSN operator pack unless due diligence requires sharing.</w:t>
      </w:r>
    </w:p>
    <w:p>
      <w:pPr>
        <w:pStyle w:val="Heading1"/>
      </w:pPr>
      <w:r>
        <w:rPr>
          <w:color w:val="0B2545"/>
        </w:rPr>
        <w:t>What Clients Must Not Be Told</w:t>
      </w:r>
    </w:p>
    <w:p>
      <w:r>
        <w:t>Do not tell clients:</w:t>
      </w:r>
    </w:p>
    <w:p>
      <w:pPr>
        <w:pStyle w:val="ListBullet"/>
      </w:pPr>
      <w:r>
        <w:t>GSN proves a member is trustworthy by itself.</w:t>
      </w:r>
    </w:p>
    <w:p>
      <w:pPr>
        <w:pStyle w:val="ListBullet"/>
      </w:pPr>
      <w:r>
        <w:t>A view, click, chat, call or share is a buyer or sale.</w:t>
      </w:r>
    </w:p>
    <w:p>
      <w:pPr>
        <w:pStyle w:val="ListBullet"/>
      </w:pPr>
      <w:r>
        <w:t>Advanced analytics is a guaranteed business model.</w:t>
      </w:r>
    </w:p>
    <w:p>
      <w:pPr>
        <w:pStyle w:val="ListBullet"/>
      </w:pPr>
      <w:r>
        <w:t>WhatsApp, phone, payment or external platforms can be controlled after the user leaves GSN.</w:t>
      </w:r>
    </w:p>
    <w:p>
      <w:pPr>
        <w:pStyle w:val="ListBullet"/>
      </w:pPr>
      <w:r>
        <w:t>Every capability in the master bank is live for every client.</w:t>
      </w:r>
    </w:p>
    <w:p>
      <w:r>
        <w:t>Correct phrasing:</w:t>
      </w:r>
    </w:p>
    <w:p>
      <w:r>
        <w:t>GSN organises setup, records real actions where the app can observe them, and presents evidence for people to review. The receiving person or organisation still decides.</w:t>
      </w:r>
    </w:p>
    <w:p>
      <w:r>
        <w:br w:type="page"/>
      </w:r>
    </w:p>
    <w:p>
      <w:pPr>
        <w:jc w:val="center"/>
      </w:pPr>
      <w:r>
        <w:rPr>
          <w:b/>
          <w:color w:val="0B2545"/>
          <w:sz w:val="32"/>
        </w:rPr>
        <w:t>Scan to download this GSN article</w:t>
      </w:r>
    </w:p>
    <w:p>
      <w:pPr>
        <w:jc w:val="center"/>
      </w:pPr>
      <w:r>
        <w:rPr>
          <w:b/>
        </w:rPr>
        <w:t>Client Handover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-handover-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For: Community owners, coordinators and client admins</w:t>
      </w:r>
    </w:p>
    <w:p>
      <w:pPr>
        <w:jc w:val="center"/>
      </w:pPr>
      <w:r>
        <w:t>https://raw.githubusercontent.com/chumanwafor216-svg/gmfn-mvp/main/docs/community-</w:t>
      </w:r>
      <w:r>
        <w:br/>
      </w:r>
      <w:r>
        <w:t>setup-pack/GSN_COMMUNITY_SETUP_CLIENT_HANDOVER_MAP_2026-09-14.pdf</w:t>
      </w:r>
      <w:r>
        <w:br/>
      </w:r>
    </w:p>
    <w:p>
      <w:pPr>
        <w:jc w:val="center"/>
      </w:pPr>
      <w:r>
        <w:t>QR access depends on the file being publicly reachable or shared through an approved public mirror.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GSN Original Community Setup Material | Source-controlled in gmfn_mvp/docs | Document date: 2026-09-14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GSN Community Setup Pack | 2026-09-14</w:t>
    </w:r>
  </w:p>
  <w:p>
    <w:r>
      <w:pict>
        <v:shape id="GSNCommunitySetupWatermark" o:spid="_x0000_s1025" type="#_x0000_t136" style="position:absolute;margin-left:0;margin-top:0;width:468pt;height:468pt;rotation:315;z-index:-251654144;mso-position-horizontal:center;mso-position-vertical:center;mso-wrap-edited:f;" fillcolor="#C9CED6" stroked="f">
          <v:fill opacity="0.12"/>
          <v:textpath style="font-family:&quot;Aptos&quot;;font-size:1pt" string="GSN ORIGINAL | 2026-09-14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