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545"/>
          <w:sz w:val="44"/>
        </w:rPr>
        <w:t>GSN Community Setup Pack: Deployment Pack Index (2026-09-14)</w:t>
      </w:r>
    </w:p>
    <w:p>
      <w:r>
        <w:t>Authenticity mark: GSN Original Community Setup Material | Source-controlled in gmfn_mvp/docs | Document date: 2026-09-14</w:t>
      </w:r>
    </w:p>
    <w:p>
      <w:r>
        <w:t>Document date: 2026-09-14</w:t>
      </w:r>
    </w:p>
    <w:p>
      <w:r>
        <w:t>Pack: GSN Community Setup Pack</w:t>
      </w:r>
    </w:p>
    <w:p>
      <w:r>
        <w:t>Authenticity mark: GSN original community setup material, source-controlled in `gmfn_mvp/docs`.</w:t>
      </w:r>
    </w:p>
    <w:p>
      <w:pPr>
        <w:pStyle w:val="Heading1"/>
      </w:pPr>
      <w:r>
        <w:rPr>
          <w:color w:val="0B2545"/>
        </w:rPr>
        <w:t>Purpose</w:t>
      </w:r>
    </w:p>
    <w:p>
      <w:r>
        <w:t>This index turns the generated GSN documents into a reusable deployment-stage pack. Use it when setting up a Community Domain or preparing handover material for a group that needs to explain GSN to leaders, managers and members.</w:t>
      </w:r>
    </w:p>
    <w:p>
      <w:r>
        <w:t>The pack has two sides:</w:t>
      </w:r>
    </w:p>
    <w:p>
      <w:pPr>
        <w:pStyle w:val="ListBullet"/>
      </w:pPr>
      <w:r>
        <w:t>Operator side: what GSN must configure, verify, test and hand over.</w:t>
      </w:r>
    </w:p>
    <w:p>
      <w:pPr>
        <w:pStyle w:val="ListBullet"/>
      </w:pPr>
      <w:r>
        <w:t>Client side: what the organisation receives so it can distribute instructions and stories to members.</w:t>
      </w:r>
    </w:p>
    <w:p>
      <w:pPr>
        <w:pStyle w:val="Heading1"/>
      </w:pPr>
      <w:r>
        <w:rPr>
          <w:color w:val="0B2545"/>
        </w:rPr>
        <w:t>Canonical Source Set</w:t>
      </w:r>
    </w:p>
    <w:p>
      <w:r>
        <w:t>| Role | File | Use |</w:t>
      </w:r>
    </w:p>
    <w:p>
      <w:r>
        <w:t>|---|---|---|</w:t>
      </w:r>
    </w:p>
    <w:p>
      <w:r>
        <w:t>| Core capability set | `GSN_CORE_CAPABILITY_SET_2026-09-14.md` | Public/app-facing stable capability set selected from the deeper bank. |</w:t>
      </w:r>
    </w:p>
    <w:p>
      <w:r>
        <w:t>| Live setup guide | `../gsn-user-guide/GSN_SELF_SERVICE_USER_GUIDE.md` | Current setup/status authority for what to set up, what it does and how to use it. |</w:t>
      </w:r>
    </w:p>
    <w:p>
      <w:r>
        <w:t>| Word setup guide | `../gsn-user-guide/GSN_SELF_SERVICE_USER_GUIDE.docx` | Editable client handover copy. |</w:t>
      </w:r>
    </w:p>
    <w:p>
      <w:r>
        <w:t>| PDF setup guide | `../gsn-user-guide/GSN_SELF_SERVICE_USER_GUIDE.pdf` | Send-ready read-only client copy. |</w:t>
      </w:r>
    </w:p>
    <w:p>
      <w:r>
        <w:t>| Feature inventory | `../gsn-user-guide/GSN_FEATURE_INVENTORY_AUDIT.md` | Internal evidence-backed list of user-facing capabilities. |</w:t>
      </w:r>
    </w:p>
    <w:p>
      <w:r>
        <w:t>| Dependency map | `../gsn-user-guide/GSN_FEATURE_DEPENDENCY_AND_SETUP_MAP.md` | Setup order and prerequisites. |</w:t>
      </w:r>
    </w:p>
    <w:p>
      <w:r>
        <w:t>| Route/recovery map | `../gsn-user-guide/GSN_ROUTE_AND_RECOVERY_MAP.md` | Where users go when something is missing, stale or blocked. |</w:t>
      </w:r>
    </w:p>
    <w:p>
      <w:r>
        <w:t>| Issue register | `../gsn-user-guide/GSN_DOCUMENTATION_ISSUE_REGISTER.md` | Known truth gaps before public training release. |</w:t>
      </w:r>
    </w:p>
    <w:p>
      <w:r>
        <w:t>| Master capability bank | `../gsn-user-guide/real-life-capability-bank/GSN_IN_REAL_LIFE_MASTER_CAPABILITY_BANK.md` | Full menu of real-life GSN capabilities. Do not send whole master to every group. |</w:t>
      </w:r>
    </w:p>
    <w:p>
      <w:r>
        <w:t>| Audience selection map | `../gsn-user-guide/real-life-capability-bank/GSN_IN_REAL_LIFE_SELECTION_MAP.json` | Machine-readable map for choosing audience-specific modules. |</w:t>
      </w:r>
    </w:p>
    <w:p>
      <w:r>
        <w:t>| Audience pick lists | `../gsn-user-guide/real-life-capability-bank/GSN_IN_REAL_LIFE_AUDIENCE_PICK_LISTS.md` | Short first-send guide for choosing the right copy. |</w:t>
      </w:r>
    </w:p>
    <w:p>
      <w:r>
        <w:t>| QR download index | `GSN_COMMUNITY_SETUP_QR_DOWNLOAD_INDEX_2026-09-14.pdf` | Phone-friendly scan sheet for opening key setup articles without typing links. |</w:t>
      </w:r>
    </w:p>
    <w:p>
      <w:pPr>
        <w:pStyle w:val="Heading1"/>
      </w:pPr>
      <w:r>
        <w:rPr>
          <w:color w:val="0B2545"/>
        </w:rPr>
        <w:t>Deployment Stage Use</w:t>
      </w:r>
    </w:p>
    <w:p>
      <w:pPr>
        <w:pStyle w:val="Heading2"/>
      </w:pPr>
      <w:r>
        <w:t>Stage 1. First conversation</w:t>
      </w:r>
    </w:p>
    <w:p>
      <w:r>
        <w:t>Send:</w:t>
      </w:r>
    </w:p>
    <w:p>
      <w:pPr>
        <w:pStyle w:val="ListBullet"/>
      </w:pPr>
      <w:r>
        <w:t>one audience-specific `GSN in Real Life` copy</w:t>
      </w:r>
    </w:p>
    <w:p>
      <w:pPr>
        <w:pStyle w:val="ListBullet"/>
      </w:pPr>
      <w:r>
        <w:t>the QR download index when people will receive the material by phone or paper</w:t>
      </w:r>
    </w:p>
    <w:p>
      <w:pPr>
        <w:pStyle w:val="ListBullet"/>
      </w:pPr>
      <w:r>
        <w:t>the short audience pick-list if the organisation is still deciding scope</w:t>
      </w:r>
    </w:p>
    <w:p>
      <w:pPr>
        <w:pStyle w:val="ListBullet"/>
      </w:pPr>
      <w:r>
        <w:t>one or two relevant stories from `GSN_COMMUNITY_SETUP_STORY_BANK_2026-09-14.md`</w:t>
      </w:r>
    </w:p>
    <w:p>
      <w:r>
        <w:t>Do not send the full master bank unless the receiver is helping design the rollout.</w:t>
      </w:r>
    </w:p>
    <w:p>
      <w:pPr>
        <w:pStyle w:val="Heading2"/>
      </w:pPr>
      <w:r>
        <w:t>Stage 2. Setup agreement</w:t>
      </w:r>
    </w:p>
    <w:p>
      <w:r>
        <w:t>Use internally:</w:t>
      </w:r>
    </w:p>
    <w:p>
      <w:pPr>
        <w:pStyle w:val="ListBullet"/>
      </w:pPr>
      <w:r>
        <w:t>`GSN_FEATURE_DEPENDENCY_AND_SETUP_MAP.md`</w:t>
      </w:r>
    </w:p>
    <w:p>
      <w:pPr>
        <w:pStyle w:val="ListBullet"/>
      </w:pPr>
      <w:r>
        <w:t>`GSN_ROUTE_AND_RECOVERY_MAP.md`</w:t>
      </w:r>
    </w:p>
    <w:p>
      <w:pPr>
        <w:pStyle w:val="ListBullet"/>
      </w:pPr>
      <w:r>
        <w:t>`GSN_DOCUMENTATION_ISSUE_REGISTER.md`</w:t>
      </w:r>
    </w:p>
    <w:p>
      <w:r>
        <w:t>Send to client leaders:</w:t>
      </w:r>
    </w:p>
    <w:p>
      <w:pPr>
        <w:pStyle w:val="ListBullet"/>
      </w:pPr>
      <w:r>
        <w:t>`GSN_SELF_SERVICE_USER_GUIDE.pdf`</w:t>
      </w:r>
    </w:p>
    <w:p>
      <w:pPr>
        <w:pStyle w:val="ListBullet"/>
      </w:pPr>
      <w:r>
        <w:t>a selected audience copy from the real-life capability bank</w:t>
      </w:r>
    </w:p>
    <w:p>
      <w:pPr>
        <w:pStyle w:val="Heading2"/>
      </w:pPr>
      <w:r>
        <w:t>Stage 3. Community Domain setup</w:t>
      </w:r>
    </w:p>
    <w:p>
      <w:r>
        <w:t>Use the setup guide to walk through:</w:t>
      </w:r>
    </w:p>
    <w:p>
      <w:pPr>
        <w:pStyle w:val="ListBullet"/>
      </w:pPr>
      <w:r>
        <w:t>leader/admin account</w:t>
      </w:r>
    </w:p>
    <w:p>
      <w:pPr>
        <w:pStyle w:val="ListBullet"/>
      </w:pPr>
      <w:r>
        <w:t>community creation or join path</w:t>
      </w:r>
    </w:p>
    <w:p>
      <w:pPr>
        <w:pStyle w:val="ListBullet"/>
      </w:pPr>
      <w:r>
        <w:t>Community Domain draft or setup route</w:t>
      </w:r>
    </w:p>
    <w:p>
      <w:pPr>
        <w:pStyle w:val="ListBullet"/>
      </w:pPr>
      <w:r>
        <w:t>member entry/invite/QR path</w:t>
      </w:r>
    </w:p>
    <w:p>
      <w:pPr>
        <w:pStyle w:val="ListBullet"/>
      </w:pPr>
      <w:r>
        <w:t>bulletin/notice policy</w:t>
      </w:r>
    </w:p>
    <w:p>
      <w:pPr>
        <w:pStyle w:val="ListBullet"/>
      </w:pPr>
      <w:r>
        <w:t>shop/marketplace controls if the group needs economic activity</w:t>
      </w:r>
    </w:p>
    <w:p>
      <w:pPr>
        <w:pStyle w:val="ListBullet"/>
      </w:pPr>
      <w:r>
        <w:t>TrustSlip/TrustPassport evidence boundaries</w:t>
      </w:r>
    </w:p>
    <w:p>
      <w:pPr>
        <w:pStyle w:val="ListBullet"/>
      </w:pPr>
      <w:r>
        <w:t>analytics and Opportunity Engine only after activity exists</w:t>
      </w:r>
    </w:p>
    <w:p>
      <w:pPr>
        <w:pStyle w:val="Heading2"/>
      </w:pPr>
      <w:r>
        <w:t>Stage 4. Member distribution</w:t>
      </w:r>
    </w:p>
    <w:p>
      <w:r>
        <w:t>Give the organisation:</w:t>
      </w:r>
    </w:p>
    <w:p>
      <w:pPr>
        <w:pStyle w:val="ListBullet"/>
      </w:pPr>
      <w:r>
        <w:t>member-safe setup guide</w:t>
      </w:r>
    </w:p>
    <w:p>
      <w:pPr>
        <w:pStyle w:val="ListBullet"/>
      </w:pPr>
      <w:r>
        <w:t>audience story copy</w:t>
      </w:r>
    </w:p>
    <w:p>
      <w:pPr>
        <w:pStyle w:val="ListBullet"/>
      </w:pPr>
      <w:r>
        <w:t>the QR download index or the QR page inside the selected PDF/DOCX</w:t>
      </w:r>
    </w:p>
    <w:p>
      <w:pPr>
        <w:pStyle w:val="ListBullet"/>
      </w:pPr>
      <w:r>
        <w:t>QR/invite instructions produced from the live app</w:t>
      </w:r>
    </w:p>
    <w:p>
      <w:pPr>
        <w:pStyle w:val="ListBullet"/>
      </w:pPr>
      <w:r>
        <w:t>clear support/recovery path</w:t>
      </w:r>
    </w:p>
    <w:p>
      <w:r>
        <w:t>Truth boundary: member distribution material must not expose internal admin routes, backend claims, private evidence, or owner-only analytics.</w:t>
      </w:r>
    </w:p>
    <w:p>
      <w:pPr>
        <w:pStyle w:val="Heading2"/>
      </w:pPr>
      <w:r>
        <w:t>Stage 5. Upgrade or change</w:t>
      </w:r>
    </w:p>
    <w:p>
      <w:r>
        <w:t>When the product changes:</w:t>
      </w:r>
    </w:p>
    <w:p>
      <w:pPr>
        <w:pStyle w:val="ListBullet"/>
      </w:pPr>
      <w:r>
        <w:t>update the source Markdown/JSON/CSV</w:t>
      </w:r>
    </w:p>
    <w:p>
      <w:pPr>
        <w:pStyle w:val="ListBullet"/>
      </w:pPr>
      <w:r>
        <w:t>rebuild DOCX/PDF outputs</w:t>
      </w:r>
    </w:p>
    <w:p>
      <w:pPr>
        <w:pStyle w:val="ListBullet"/>
      </w:pPr>
      <w:r>
        <w:t>update this index and `pack_manifest.json`</w:t>
      </w:r>
    </w:p>
    <w:p>
      <w:pPr>
        <w:pStyle w:val="ListBullet"/>
      </w:pPr>
      <w:r>
        <w:t>record the change in `../HANDOFF_NOTES.md`</w:t>
      </w:r>
    </w:p>
    <w:p>
      <w:pPr>
        <w:pStyle w:val="Heading1"/>
      </w:pPr>
      <w:r>
        <w:rPr>
          <w:color w:val="0B2545"/>
        </w:rPr>
        <w:t>Naming Rule</w:t>
      </w:r>
    </w:p>
    <w:p>
      <w:r>
        <w:t>Every public-facing document title should begin with `GSN`, name the audience or purpose, and include a document date. Weak titles such as only `Master Capability Bank` or `Copy` are not enough for client distribution.</w:t>
      </w:r>
    </w:p>
    <w:p>
      <w:r>
        <w:t>Good examples:</w:t>
      </w:r>
    </w:p>
    <w:p>
      <w:pPr>
        <w:pStyle w:val="ListBullet"/>
      </w:pPr>
      <w:r>
        <w:t>`GSN Community Setup Pack: What to Set Up, What It Does, and How to Use It (2026-09-14)`</w:t>
      </w:r>
    </w:p>
    <w:p>
      <w:pPr>
        <w:pStyle w:val="ListBullet"/>
      </w:pPr>
      <w:r>
        <w:t>`GSN Community Setup Pack: GSN in Real Life Master Capability Bank (2026-09-14)`</w:t>
      </w:r>
    </w:p>
    <w:p>
      <w:pPr>
        <w:pStyle w:val="ListBullet"/>
      </w:pPr>
      <w:r>
        <w:t>`GSN Community Setup Pack: Church and Faith Group Real-Life Copy (2026-09-14)`</w:t>
      </w:r>
    </w:p>
    <w:p>
      <w:pPr>
        <w:pStyle w:val="Heading1"/>
      </w:pPr>
      <w:r>
        <w:rPr>
          <w:color w:val="0B2545"/>
        </w:rPr>
        <w:t>Authenticity Rule</w:t>
      </w:r>
    </w:p>
    <w:p>
      <w:r>
        <w:t>Every send-ready DOCX/PDF must include one of:</w:t>
      </w:r>
    </w:p>
    <w:p>
      <w:pPr>
        <w:pStyle w:val="ListBullet"/>
      </w:pPr>
      <w:r>
        <w:t>a footer authenticity line</w:t>
      </w:r>
    </w:p>
    <w:p>
      <w:pPr>
        <w:pStyle w:val="ListBullet"/>
      </w:pPr>
      <w:r>
        <w:t>a visible watermark</w:t>
      </w:r>
    </w:p>
    <w:p>
      <w:pPr>
        <w:pStyle w:val="ListBullet"/>
      </w:pPr>
      <w:r>
        <w:t>a cover-page authenticity note</w:t>
      </w:r>
    </w:p>
    <w:p>
      <w:r>
        <w:t>Suggested mark:</w:t>
      </w:r>
    </w:p>
    <w:p>
      <w:r>
        <w:t>`GSN Original Community Setup Material | Source-controlled in gmfn_mvp/docs | Document date: 2026-09-14`</w:t>
      </w:r>
    </w:p>
    <w:p>
      <w:r>
        <w:t>Devil truth: a watermark shows origin and version discipline. It does not stop screenshots, copying, forwarding, or misuse by itself.</w:t>
      </w:r>
    </w:p>
    <w:p>
      <w:r>
        <w:br w:type="page"/>
      </w:r>
    </w:p>
    <w:p>
      <w:pPr>
        <w:jc w:val="center"/>
      </w:pPr>
      <w:r>
        <w:rPr>
          <w:b/>
          <w:color w:val="0B2545"/>
          <w:sz w:val="32"/>
        </w:rPr>
        <w:t>Scan to download this GSN article</w:t>
      </w:r>
    </w:p>
    <w:p>
      <w:pPr>
        <w:jc w:val="center"/>
      </w:pPr>
      <w:r>
        <w:rPr>
          <w:b/>
        </w:rPr>
        <w:t>Community Setup Deployment Pack Index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pack-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For: GSN setup team and community leaders</w:t>
      </w:r>
    </w:p>
    <w:p>
      <w:pPr>
        <w:jc w:val="center"/>
      </w:pPr>
      <w:r>
        <w:t>https://raw.githubusercontent.com/chumanwafor216-svg/gmfn-mvp/main/docs/community-</w:t>
      </w:r>
      <w:r>
        <w:br/>
      </w:r>
      <w:r>
        <w:t>setup-pack/GSN_COMMUNITY_SETUP_DEPLOYMENT_PACK_INDEX_2026-09-14.pdf</w:t>
      </w:r>
      <w:r>
        <w:br/>
      </w:r>
    </w:p>
    <w:p>
      <w:pPr>
        <w:jc w:val="center"/>
      </w:pPr>
      <w:r>
        <w:t>QR access depends on the file being publicly reachable or shared through an approved public mirror.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