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GSN Core Capabilities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pPr>
        <w:pStyle w:val="Heading1"/>
      </w:pPr>
      <w:r>
        <w:rPr>
          <w:color w:val="0B2545"/>
        </w:rPr>
        <w:t>Purpose</w:t>
      </w:r>
    </w:p>
    <w:p>
      <w:r>
        <w:t>This document replaces the old public habit of presenting GSN as a fixed-number capability list.</w:t>
      </w:r>
    </w:p>
    <w:p>
      <w:r>
        <w:t>Use GSN Core Capabilities for public-facing app surfaces, executive summaries, first conversations, and ordinary client/member explanation. The larger `GSN in Real Life` bank remains the controlled setup source for deeper rollout, audience selection, upgrades and operator work.</w:t>
      </w:r>
    </w:p>
    <w:p>
      <w:r>
        <w:t>Devil truth: this list explains durable product value. It is not a promise that every capability is live for every client, and it does not expose every internal module GSN can use.</w:t>
      </w:r>
    </w:p>
    <w:p>
      <w:pPr>
        <w:pStyle w:val="Heading1"/>
      </w:pPr>
      <w:r>
        <w:rPr>
          <w:color w:val="0B2545"/>
        </w:rPr>
        <w:t>Core Capabilities</w:t>
      </w:r>
    </w:p>
    <w:p>
      <w:pPr>
        <w:pStyle w:val="ListNumber"/>
      </w:pPr>
      <w:r>
        <w:t>**Recognised Community Identity**</w:t>
      </w:r>
    </w:p>
    <w:p>
      <w:r>
        <w:t>GSN gives a real group a governed identity beyond WhatsApp names, paper lists and one person's phone.</w:t>
      </w:r>
    </w:p>
    <w:p>
      <w:pPr>
        <w:pStyle w:val="ListNumber"/>
      </w:pPr>
      <w:r>
        <w:t>**Governed Membership and Roles**</w:t>
      </w:r>
    </w:p>
    <w:p>
      <w:r>
        <w:t>GSN separates leaders, admins, members, visitors and public readers so access follows responsibility.</w:t>
      </w:r>
    </w:p>
    <w:p>
      <w:pPr>
        <w:pStyle w:val="ListNumber"/>
      </w:pPr>
      <w:r>
        <w:t>**Invite and QR Entry**</w:t>
      </w:r>
    </w:p>
    <w:p>
      <w:r>
        <w:t>GSN helps people enter the correct community, document, shop or setup flow without typing links manually.</w:t>
      </w:r>
    </w:p>
    <w:p>
      <w:pPr>
        <w:pStyle w:val="ListNumber"/>
      </w:pPr>
      <w:r>
        <w:t>**Official Announcements and Response Evidence**</w:t>
      </w:r>
    </w:p>
    <w:p>
      <w:r>
        <w:t>GSN keeps official notices, acknowledgement, availability and follow-up evidence from being buried in chat noise.</w:t>
      </w:r>
    </w:p>
    <w:p>
      <w:pPr>
        <w:pStyle w:val="ListNumber"/>
      </w:pPr>
      <w:r>
        <w:t>**Meetings, Attendance and Decision Memory**</w:t>
      </w:r>
    </w:p>
    <w:p>
      <w:r>
        <w:t>GSN connects meetings, attendance, decisions, files, action owners and handover memory into one readable trail.</w:t>
      </w:r>
    </w:p>
    <w:p>
      <w:pPr>
        <w:pStyle w:val="ListNumber"/>
      </w:pPr>
      <w:r>
        <w:t>**TrustPassport and TrustSlip Evidence**</w:t>
      </w:r>
    </w:p>
    <w:p>
      <w:r>
        <w:t>GSN lets members carry bounded identity and trust evidence without pretending trust is automatic proof.</w:t>
      </w:r>
    </w:p>
    <w:p>
      <w:pPr>
        <w:pStyle w:val="ListNumber"/>
      </w:pPr>
      <w:r>
        <w:t>**Community Marketplace and Public Shop**</w:t>
      </w:r>
    </w:p>
    <w:p>
      <w:r>
        <w:t>GSN gives shops, services, products, media, Spotlight, contacts and verification entry points one organised public home.</w:t>
      </w:r>
    </w:p>
    <w:p>
      <w:pPr>
        <w:pStyle w:val="ListNumber"/>
      </w:pPr>
      <w:r>
        <w:t>**DemandBox and Ask Community**</w:t>
      </w:r>
    </w:p>
    <w:p>
      <w:r>
        <w:t>GSN routes needs, offers, requests and local demand into a structured lane while keeping official bulletin space protected.</w:t>
      </w:r>
    </w:p>
    <w:p>
      <w:pPr>
        <w:pStyle w:val="ListNumber"/>
      </w:pPr>
      <w:r>
        <w:t>**Support, Welfare and Contribution Records**</w:t>
      </w:r>
    </w:p>
    <w:p>
      <w:r>
        <w:t>GSN makes welfare, support, contribution, repayment and responsibility records easier to review without turning GSN into a bank.</w:t>
      </w:r>
    </w:p>
    <w:p>
      <w:pPr>
        <w:pStyle w:val="ListNumber"/>
      </w:pPr>
      <w:r>
        <w:t>**Opportunity and Activity Analytics**</w:t>
      </w:r>
    </w:p>
    <w:p>
      <w:r>
        <w:t>GSN helps leaders read attention, demand, participation, Spotlight movement, shop activity and opportunity signals without mistaking signals for proof.</w:t>
      </w:r>
    </w:p>
    <w:p>
      <w:pPr>
        <w:pStyle w:val="ListNumber"/>
      </w:pPr>
      <w:r>
        <w:t>**Documents, Downloads and Bridges**</w:t>
      </w:r>
    </w:p>
    <w:p>
      <w:r>
        <w:t>GSN packages setup papers, QR download sheets, public links, private files and approved bridges so people receive the right material.</w:t>
      </w:r>
    </w:p>
    <w:p>
      <w:pPr>
        <w:pStyle w:val="ListNumber"/>
      </w:pPr>
      <w:r>
        <w:t>**Continuity, Handover and Institutional Memory**</w:t>
      </w:r>
    </w:p>
    <w:p>
      <w:r>
        <w:t>GSN keeps community identity, roles, documents, decisions, evidence, setup history and handover usable after leaders or devices change.</w:t>
      </w:r>
    </w:p>
    <w:p>
      <w:pPr>
        <w:pStyle w:val="Heading1"/>
      </w:pPr>
      <w:r>
        <w:rPr>
          <w:color w:val="0B2545"/>
        </w:rPr>
        <w:t>Audience Use</w:t>
      </w:r>
    </w:p>
    <w:p>
      <w:r>
        <w:t>Use the full core set for GSN positioning and app surfaces. For client distribution, choose only the few that fit the organisation:</w:t>
      </w:r>
    </w:p>
    <w:p>
      <w:pPr>
        <w:pStyle w:val="ListBullet"/>
      </w:pPr>
      <w:r>
        <w:t>Churches and faith groups: identity, membership, announcements, meetings, welfare, documents and handover.</w:t>
      </w:r>
    </w:p>
    <w:p>
      <w:pPr>
        <w:pStyle w:val="ListBullet"/>
      </w:pPr>
      <w:r>
        <w:t>Schools and youth groups: identity, roles, QR entry, announcements, attendance, documents and handover.</w:t>
      </w:r>
    </w:p>
    <w:p>
      <w:pPr>
        <w:pStyle w:val="ListBullet"/>
      </w:pPr>
      <w:r>
        <w:t>NGOs and charities: identity, roles, announcements, project memory, support records, documents and analytics.</w:t>
      </w:r>
    </w:p>
    <w:p>
      <w:pPr>
        <w:pStyle w:val="ListBullet"/>
      </w:pPr>
      <w:r>
        <w:t>Cooperatives, markets and business networks: identity, roles, marketplace/shop, DemandBox, support records, analytics and continuity.</w:t>
      </w:r>
    </w:p>
    <w:p>
      <w:pPr>
        <w:pStyle w:val="ListBullet"/>
      </w:pPr>
      <w:r>
        <w:t>Families, diaspora groups and associations: identity, roles, QR entry, trust evidence, support records, documents and handover.</w:t>
      </w:r>
    </w:p>
    <w:p>
      <w:pPr>
        <w:pStyle w:val="Heading1"/>
      </w:pPr>
      <w:r>
        <w:rPr>
          <w:color w:val="0B2545"/>
        </w:rPr>
        <w:t>Controlled Full Bank</w:t>
      </w:r>
    </w:p>
    <w:p>
      <w:r>
        <w:t>The 44-module `GSN in Real Life` bank remains useful, but it should not be the default public front.</w:t>
      </w:r>
    </w:p>
    <w:p>
      <w:r>
        <w:t>Use the full bank only when:</w:t>
      </w:r>
    </w:p>
    <w:p>
      <w:pPr>
        <w:pStyle w:val="ListBullet"/>
      </w:pPr>
      <w:r>
        <w:t>the setup team is designing a rollout</w:t>
      </w:r>
    </w:p>
    <w:p>
      <w:pPr>
        <w:pStyle w:val="ListBullet"/>
      </w:pPr>
      <w:r>
        <w:t>a client leader needs the deeper map</w:t>
      </w:r>
    </w:p>
    <w:p>
      <w:pPr>
        <w:pStyle w:val="ListBullet"/>
      </w:pPr>
      <w:r>
        <w:t>an audience-specific copy must be prepared</w:t>
      </w:r>
    </w:p>
    <w:p>
      <w:pPr>
        <w:pStyle w:val="ListBullet"/>
      </w:pPr>
      <w:r>
        <w:t>an upgrade changes the setup pack</w:t>
      </w:r>
    </w:p>
    <w:p>
      <w:pPr>
        <w:pStyle w:val="ListBullet"/>
      </w:pPr>
      <w:r>
        <w:t>due diligence requires a fuller explanation</w:t>
      </w:r>
    </w:p>
    <w:p>
      <w:r>
        <w:t>Do not send the full bank to ordinary members when a smaller audience copy is enough.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GSN Core Capability 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capability-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Public app surfaces, first conversations and client handover</w:t>
      </w:r>
    </w:p>
    <w:p>
      <w:pPr>
        <w:jc w:val="center"/>
      </w:pPr>
      <w:r>
        <w:t>https://raw.githubusercontent.com/chumanwafor216-svg/gmfn-mvp/main/docs/community-</w:t>
      </w:r>
      <w:r>
        <w:br/>
      </w:r>
      <w:r>
        <w:t>setup-pack/GSN_CORE_CAPABILITY_SET_2026-09-14.pdf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