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Family, Diaspora and Association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families, diaspora groups, town unions, clans, alumni circles and member associations.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rPr>
          <w:color w:val="0B2545"/>
        </w:rP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rPr>
          <w:color w:val="0B2545"/>
        </w:rP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rPr>
          <w:color w:val="0B2545"/>
        </w:rP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rPr>
          <w:color w:val="0B2545"/>
        </w:rP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rPr>
          <w:color w:val="0B2545"/>
        </w:rP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rPr>
          <w:color w:val="0B2545"/>
        </w:rP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40.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rPr>
          <w:color w:val="0B2545"/>
        </w:rPr>
        <w:t>41.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Family, Diaspora and Association Copy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-diaspora-association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Families, diaspora groups and associations</w:t>
      </w:r>
    </w:p>
    <w:p>
      <w:pPr>
        <w:jc w:val="center"/>
      </w:pPr>
      <w:r>
        <w:t>https://raw.githubusercontent.com/chumanwafor216-svg/gmfn-mvp/main/docs/gsn-user-</w:t>
      </w:r>
      <w:r>
        <w:br/>
      </w:r>
      <w:r>
        <w:t>guide/real-life-capability-</w:t>
      </w:r>
      <w:r>
        <w:br/>
      </w:r>
      <w:r>
        <w:t>bank/GSN_IN_REAL_LIFE_FAMILY_DIASPORA_ASSOCIATION_COPY.pdf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