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GSN in Real Life Master Capability Bank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A complete modular bank of the real-life capabilities GSN can explain. It stretches beyond the old 23 items because the current product story has more practical doors than one public paper should carry.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master bank like a menu. Do not send it all to everyone. Pick the modules that match the church, school, NGO, cooperative, market, family or diaspora conversation.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rPr>
          <w:color w:val="0B2545"/>
        </w:rP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rPr>
          <w:color w:val="0B2545"/>
        </w:rP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rPr>
          <w:color w:val="0B2545"/>
        </w:rP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rPr>
          <w:color w:val="0B2545"/>
        </w:rP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rPr>
          <w:color w:val="0B2545"/>
        </w:rP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rPr>
          <w:color w:val="0B2545"/>
        </w:rP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40.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rPr>
          <w:color w:val="0B2545"/>
        </w:rPr>
        <w:t>41. Church Programmes, Offering, Volunteers and Follow-Up</w:t>
      </w:r>
    </w:p>
    <w:p>
      <w:r>
        <w:t>Current truth boundary: Audience-specific composite capability; payment handling depends on lawful integrations.</w:t>
      </w:r>
    </w:p>
    <w:p>
      <w:r>
        <w:t>The real-life problem: Churches manage announcements, services, departments, offerings, welfare, programmes, volunteers and pastoral follow-up across many informal channels.</w:t>
      </w:r>
    </w:p>
    <w:p>
      <w:r>
        <w:t>What GSN adds: GSN can structure notices, attendance or availability, documents, volunteer coordination, support records and programme memory.</w:t>
      </w:r>
    </w:p>
    <w:p>
      <w:r>
        <w:t>Why it is important: A church is not only Sunday gathering; it is a living organisation with people, records, needs and follow-up.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An offering drive or programme can keep its instruction, evidence and follow-up in one governed place.</w:t>
      </w:r>
    </w:p>
    <w:p>
      <w:r>
        <w:t>What not to overclaim: GSN must not replace pastoral judgement, safeguarding rules or regulated payment/accounting requirements.</w:t>
      </w:r>
    </w:p>
    <w:p>
      <w:pPr>
        <w:pStyle w:val="Heading1"/>
      </w:pPr>
      <w:r>
        <w:rPr>
          <w:color w:val="0B2545"/>
        </w:rPr>
        <w:t>42.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rPr>
          <w:color w:val="0B2545"/>
        </w:rPr>
        <w:t>43.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rPr>
          <w:color w:val="0B2545"/>
        </w:rPr>
        <w:t>44.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GSN in Real Life Master Capability Bank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-capability-bank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Full setup/readiness conversations</w:t>
      </w:r>
    </w:p>
    <w:p>
      <w:pPr>
        <w:jc w:val="center"/>
      </w:pPr>
      <w:r>
        <w:t>https://raw.githubusercontent.com/chumanwafor216-svg/gmfn-mvp/main/docs/gsn-user-</w:t>
      </w:r>
      <w:r>
        <w:br/>
      </w:r>
      <w:r>
        <w:t>guide/real-life-capability-bank/GSN_IN_REAL_LIFE_MASTER_CAPABILITY_BANK.pdf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