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GSN Customer Discovery Brief</w:t>
      </w:r>
    </w:p>
    <w:p>
      <w:pPr>
        <w:pStyle w:val="Subtitle"/>
      </w:pPr>
      <w:r>
        <w:t xml:space="preserve">Plain-language copy for community conversations</w:t>
      </w:r>
    </w:p>
    <w:p>
      <w:r>
        <w:t xml:space="preserve">Purpose: help people understand the idea, challenge it, and tell us whether it solves a real problem.</w:t>
      </w:r>
    </w:p>
    <w:p>
      <w:pPr>
        <w:pStyle w:val="Heading1"/>
      </w:pPr>
      <w:r>
        <w:t xml:space="preserve">The simple idea</w:t>
      </w:r>
    </w:p>
    <w:p>
      <w:pPr>
        <w:pStyle w:val="Callout"/>
      </w:pPr>
      <w:r>
        <w:t xml:space="preserve">Every community already knows things about its members that do not appear on an ID card, certificate, CV, or bank statement. People know who shows up, who keeps promises, who helps, who leads well, who sells honestly, who repays, who contributes, and who can be trusted with responsibility.</w:t>
      </w:r>
    </w:p>
    <w:p>
      <w:r>
        <w:t xml:space="preserve">The problem is that this knowledge often stays trapped in people's heads, old WhatsApp chats, committee memories, paper notes, or local relationships. When someone moves, graduates, changes jobs, joins another community, or starts a business somewhere else, the trust they already earned may not travel with them.</w:t>
      </w:r>
    </w:p>
    <w:p>
      <w:pPr>
        <w:pStyle w:val="Heading1"/>
      </w:pPr>
      <w:r>
        <w:t xml:space="preserve">What GSN is exploring</w:t>
      </w:r>
    </w:p>
    <w:p>
      <w:r>
        <w:t xml:space="preserve">GSN is exploring whether communities can keep better records of the positive responsibility, contribution, trade, support, and participation they already recognise. The goal is not to judge people by software. The goal is to preserve useful community evidence so people do not keep starting from zero.</w:t>
      </w:r>
    </w:p>
    <w:p>
      <w:pPr>
        <w:pStyle w:val="Heading2"/>
      </w:pPr>
      <w:r>
        <w:t xml:space="preserve">A simple example</w:t>
      </w:r>
    </w:p>
    <w:p>
      <w:r>
        <w:t xml:space="preserve">Imagine a student society. Some members organise events, help newcomers, manage money responsibly, support others, or keep promises over time. After graduation, much of that record disappears. GSN asks whether a community should be able to preserve that evidence in a responsible way, so it can support future opportunities without replacing human judgement.</w:t>
      </w:r>
    </w:p>
    <w:p>
      <w:pPr>
        <w:pStyle w:val="Heading1"/>
      </w:pPr>
      <w:r>
        <w:t xml:space="preserve">What GSN is not</w:t>
      </w:r>
    </w:p>
    <w:p>
      <w:pPr>
        <w:numPr>
          <w:ilvl w:val="0"/>
          <w:numId w:val="1"/>
        </w:numPr>
        <w:spacing w:after="80"/>
        <w:ind w:left="720" w:hanging="360"/>
      </w:pPr>
      <w:r>
        <w:t xml:space="preserve">It is not a social media app.</w:t>
      </w:r>
    </w:p>
    <w:p>
      <w:pPr>
        <w:numPr>
          <w:ilvl w:val="0"/>
          <w:numId w:val="1"/>
        </w:numPr>
        <w:spacing w:after="80"/>
        <w:ind w:left="720" w:hanging="360"/>
      </w:pPr>
      <w:r>
        <w:t xml:space="preserve">It is not a popularity contest.</w:t>
      </w:r>
    </w:p>
    <w:p>
      <w:pPr>
        <w:numPr>
          <w:ilvl w:val="0"/>
          <w:numId w:val="1"/>
        </w:numPr>
        <w:spacing w:after="80"/>
        <w:ind w:left="720" w:hanging="360"/>
      </w:pPr>
      <w:r>
        <w:t xml:space="preserve">It is not a gossip system.</w:t>
      </w:r>
    </w:p>
    <w:p>
      <w:pPr>
        <w:numPr>
          <w:ilvl w:val="0"/>
          <w:numId w:val="1"/>
        </w:numPr>
        <w:spacing w:after="80"/>
        <w:ind w:left="720" w:hanging="360"/>
      </w:pPr>
      <w:r>
        <w:t xml:space="preserve">It is not a social-credit score.</w:t>
      </w:r>
    </w:p>
    <w:p>
      <w:pPr>
        <w:numPr>
          <w:ilvl w:val="0"/>
          <w:numId w:val="1"/>
        </w:numPr>
        <w:spacing w:after="80"/>
        <w:ind w:left="720" w:hanging="360"/>
      </w:pPr>
      <w:r>
        <w:t xml:space="preserve">It is not a bank, lender, or government database.</w:t>
      </w:r>
    </w:p>
    <w:p>
      <w:pPr>
        <w:numPr>
          <w:ilvl w:val="0"/>
          <w:numId w:val="1"/>
        </w:numPr>
        <w:spacing w:after="80"/>
        <w:ind w:left="720" w:hanging="360"/>
      </w:pPr>
      <w:r>
        <w:t xml:space="preserve">It should not expose private stories or sensitive personal history.</w:t>
      </w:r>
    </w:p>
    <w:p>
      <w:pPr>
        <w:pStyle w:val="Heading1"/>
      </w:pPr>
      <w:r>
        <w:t xml:space="preserve">The kind of decisions we want to understand</w:t>
      </w:r>
    </w:p>
    <w:p>
      <w:pPr>
        <w:numPr>
          <w:ilvl w:val="0"/>
          <w:numId w:val="1"/>
        </w:numPr>
        <w:spacing w:after="80"/>
        <w:ind w:left="720" w:hanging="360"/>
      </w:pPr>
      <w:r>
        <w:t xml:space="preserve">Who should be allowed to join a community?</w:t>
      </w:r>
    </w:p>
    <w:p>
      <w:pPr>
        <w:numPr>
          <w:ilvl w:val="0"/>
          <w:numId w:val="1"/>
        </w:numPr>
        <w:spacing w:after="80"/>
        <w:ind w:left="720" w:hanging="360"/>
      </w:pPr>
      <w:r>
        <w:t xml:space="preserve">Who can be trusted to organise, lead, or represent others?</w:t>
      </w:r>
    </w:p>
    <w:p>
      <w:pPr>
        <w:numPr>
          <w:ilvl w:val="0"/>
          <w:numId w:val="1"/>
        </w:numPr>
        <w:spacing w:after="80"/>
        <w:ind w:left="720" w:hanging="360"/>
      </w:pPr>
      <w:r>
        <w:t xml:space="preserve">Who has shown enough responsibility to be recommended?</w:t>
      </w:r>
    </w:p>
    <w:p>
      <w:pPr>
        <w:numPr>
          <w:ilvl w:val="0"/>
          <w:numId w:val="1"/>
        </w:numPr>
        <w:spacing w:after="80"/>
        <w:ind w:left="720" w:hanging="360"/>
      </w:pPr>
      <w:r>
        <w:t xml:space="preserve">Who should a buyer or seller feel safer dealing with?</w:t>
      </w:r>
    </w:p>
    <w:p>
      <w:pPr>
        <w:numPr>
          <w:ilvl w:val="0"/>
          <w:numId w:val="1"/>
        </w:numPr>
        <w:spacing w:after="80"/>
        <w:ind w:left="720" w:hanging="360"/>
      </w:pPr>
      <w:r>
        <w:t xml:space="preserve">Who has contributed consistently to a savings circle, support group, society, church, union, market, or cooperative?</w:t>
      </w:r>
    </w:p>
    <w:p>
      <w:pPr>
        <w:numPr>
          <w:ilvl w:val="0"/>
          <w:numId w:val="1"/>
        </w:numPr>
        <w:spacing w:after="80"/>
        <w:ind w:left="720" w:hanging="360"/>
      </w:pPr>
      <w:r>
        <w:t xml:space="preserve">What evidence would make a decision easier, fairer, or safer?</w:t>
      </w:r>
    </w:p>
    <w:p>
      <w:pPr>
        <w:pStyle w:val="Heading1"/>
      </w:pPr>
      <w:r>
        <w:t xml:space="preserve">What we want to learn from you</w:t>
      </w:r>
    </w:p>
    <w:p>
      <w:pPr>
        <w:numPr>
          <w:ilvl w:val="0"/>
          <w:numId w:val="2"/>
        </w:numPr>
        <w:spacing w:after="80"/>
        <w:ind w:left="720" w:hanging="360"/>
      </w:pPr>
      <w:r>
        <w:t xml:space="preserve">Does this problem feel real in your community?</w:t>
      </w:r>
    </w:p>
    <w:p>
      <w:pPr>
        <w:numPr>
          <w:ilvl w:val="0"/>
          <w:numId w:val="2"/>
        </w:numPr>
        <w:spacing w:after="80"/>
        <w:ind w:left="720" w:hanging="360"/>
      </w:pPr>
      <w:r>
        <w:t xml:space="preserve">Where does trust currently live: memory, WhatsApp, leaders, receipts, meetings, references, or something else?</w:t>
      </w:r>
    </w:p>
    <w:p>
      <w:pPr>
        <w:numPr>
          <w:ilvl w:val="0"/>
          <w:numId w:val="2"/>
        </w:numPr>
        <w:spacing w:after="80"/>
        <w:ind w:left="720" w:hanging="360"/>
      </w:pPr>
      <w:r>
        <w:t xml:space="preserve">What useful evidence is currently lost when people move or leadership changes?</w:t>
      </w:r>
    </w:p>
    <w:p>
      <w:pPr>
        <w:numPr>
          <w:ilvl w:val="0"/>
          <w:numId w:val="2"/>
        </w:numPr>
        <w:spacing w:after="80"/>
        <w:ind w:left="720" w:hanging="360"/>
      </w:pPr>
      <w:r>
        <w:t xml:space="preserve">What would your community be comfortable recording?</w:t>
      </w:r>
    </w:p>
    <w:p>
      <w:pPr>
        <w:numPr>
          <w:ilvl w:val="0"/>
          <w:numId w:val="2"/>
        </w:numPr>
        <w:spacing w:after="80"/>
        <w:ind w:left="720" w:hanging="360"/>
      </w:pPr>
      <w:r>
        <w:t xml:space="preserve">What should never be recorded?</w:t>
      </w:r>
    </w:p>
    <w:p>
      <w:pPr>
        <w:numPr>
          <w:ilvl w:val="0"/>
          <w:numId w:val="2"/>
        </w:numPr>
        <w:spacing w:after="80"/>
        <w:ind w:left="720" w:hanging="360"/>
      </w:pPr>
      <w:r>
        <w:t xml:space="preserve">Who should be allowed to confirm or challenge a record?</w:t>
      </w:r>
    </w:p>
    <w:p>
      <w:pPr>
        <w:numPr>
          <w:ilvl w:val="0"/>
          <w:numId w:val="2"/>
        </w:numPr>
        <w:spacing w:after="80"/>
        <w:ind w:left="720" w:hanging="360"/>
      </w:pPr>
      <w:r>
        <w:t xml:space="preserve">Which first use would be most useful: membership, events, contribution, shop/trade, support, loans, volunteering, or leadership?</w:t>
      </w:r>
    </w:p>
    <w:p>
      <w:pPr>
        <w:pStyle w:val="Heading1"/>
      </w:pPr>
      <w:r>
        <w:t xml:space="preserve">Privacy and consent boundaries</w:t>
      </w:r>
    </w:p>
    <w:p>
      <w:r>
        <w:t xml:space="preserve">A responsible version of GSN must be careful. Not every community memory belongs in a record. Not every record should be public. Not every person should be allowed to make claims about another person. Any pilot must respect consent, correction, privacy, and community governance.</w:t>
      </w:r>
    </w:p>
    <w:p>
      <w:pPr>
        <w:numPr>
          <w:ilvl w:val="0"/>
          <w:numId w:val="1"/>
        </w:numPr>
        <w:spacing w:after="80"/>
        <w:ind w:left="720" w:hanging="360"/>
      </w:pPr>
      <w:r>
        <w:t xml:space="preserve">People should know what is being recorded and why.</w:t>
      </w:r>
    </w:p>
    <w:p>
      <w:pPr>
        <w:numPr>
          <w:ilvl w:val="0"/>
          <w:numId w:val="1"/>
        </w:numPr>
        <w:spacing w:after="80"/>
        <w:ind w:left="720" w:hanging="360"/>
      </w:pPr>
      <w:r>
        <w:t xml:space="preserve">Sensitive private matters should not become public evidence.</w:t>
      </w:r>
    </w:p>
    <w:p>
      <w:pPr>
        <w:numPr>
          <w:ilvl w:val="0"/>
          <w:numId w:val="1"/>
        </w:numPr>
        <w:spacing w:after="80"/>
        <w:ind w:left="720" w:hanging="360"/>
      </w:pPr>
      <w:r>
        <w:t xml:space="preserve">Records should show where they came from and who confirmed them.</w:t>
      </w:r>
    </w:p>
    <w:p>
      <w:pPr>
        <w:numPr>
          <w:ilvl w:val="0"/>
          <w:numId w:val="1"/>
        </w:numPr>
        <w:spacing w:after="80"/>
        <w:ind w:left="720" w:hanging="360"/>
      </w:pPr>
      <w:r>
        <w:t xml:space="preserve">Wrong records should be correctable.</w:t>
      </w:r>
    </w:p>
    <w:p>
      <w:pPr>
        <w:numPr>
          <w:ilvl w:val="0"/>
          <w:numId w:val="1"/>
        </w:numPr>
        <w:spacing w:after="80"/>
        <w:ind w:left="720" w:hanging="360"/>
      </w:pPr>
      <w:r>
        <w:t xml:space="preserve">A person should not be reduced to one label, score, or old mistake.</w:t>
      </w:r>
    </w:p>
    <w:p>
      <w:pPr>
        <w:pStyle w:val="Heading1"/>
      </w:pPr>
      <w:r>
        <w:t xml:space="preserve">How to give feedback</w:t>
      </w:r>
    </w:p>
    <w:p>
      <w:r>
        <w:t xml:space="preserve">The most useful feedback is not praise. The most useful feedback is honesty. Tell us where the idea is confusing, risky, unnecessary, too ambitious, or genuinely useful. If the idea does not fit your community, say so. If it fits only one narrow decision, tell us which one.</w:t>
      </w:r>
    </w:p>
    <w:p>
      <w:pPr>
        <w:pStyle w:val="Heading1"/>
      </w:pPr>
      <w:r>
        <w:t xml:space="preserve">First pilot test</w:t>
      </w:r>
    </w:p>
    <w:p>
      <w:r>
        <w:t xml:space="preserve">A good first pilot should be small. It should help one real community preserve one useful kind of evidence for one real decision. The pilot should prove learning before growth.</w:t>
      </w:r>
    </w:p>
    <w:sectPr>
      <w:pgSz w:w="12240" w:h="15840"/>
      <w:pgMar w:top="1440" w:right="1440" w:bottom="1440" w:left="1440" w:header="708" w:footer="708" w:gutter="0"/>
      <w:cols w:space="720"/>
      <w:docGrid w:linePitch="36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720"/>
        </w:tabs>
        <w:ind w:left="720" w:hanging="360"/>
      </w:pPr>
      <w:rPr>
        <w:rFonts w:ascii="Arial" w:hAnsi="Arial" w:hint="default"/>
      </w:rPr>
    </w:lvl>
  </w:abstractNum>
  <w:abstractNum w:abstractNumId="1">
    <w:multiLevelType w:val="singleLevel"/>
    <w:lvl w:ilvl="0">
      <w:start w:val="1"/>
      <w:numFmt w:val="decimal"/>
      <w:lvlText w:val="%1."/>
      <w:lvlJc w:val="left"/>
      <w:pPr>
        <w:tabs>
          <w:tab w:val="num" w:pos="720"/>
        </w:tabs>
        <w:ind w:left="720" w:hanging="360"/>
      </w:pPr>
    </w:lvl>
  </w:abstractNum>
  <w:num w:numId="1">
    <w:abstractNumId w:val="0"/>
  </w:num>
  <w:num w:numId="2">
    <w:abstractNumId w:val="1"/>
  </w:num>
</w:numbering>
</file>

<file path=word/settings.xml><?xml version="1.0" encoding="utf-8"?>
<w:settings xmlns:w="http://schemas.openxmlformats.org/wordprocessingml/2006/main">
  <w:compat/>
</w:settings>
</file>

<file path=word/styles.xml><?xml version="1.0" encoding="utf-8"?>
<w:styles xmlns:w="http://schemas.openxmlformats.org/wordprocessingml/2006/main">
  <w:style w:type="paragraph" w:default="1" w:styleId="Normal">
    <w:name w:val="Normal"/>
    <w:qFormat/>
    <w:pPr>
      <w:spacing w:after="160" w:line="276" w:lineRule="auto"/>
    </w:pPr>
    <w:rPr>
      <w:rFonts w:ascii="Arial" w:hAnsi="Arial"/>
      <w:sz w:val="22"/>
      <w:color w:val="111827"/>
    </w:rPr>
  </w:style>
  <w:style w:type="paragraph" w:styleId="Title">
    <w:name w:val="Title"/>
    <w:basedOn w:val="Normal"/>
    <w:qFormat/>
    <w:pPr>
      <w:spacing w:before="0" w:after="160"/>
    </w:pPr>
    <w:rPr>
      <w:rFonts w:ascii="Arial" w:hAnsi="Arial"/>
      <w:b/>
      <w:sz w:val="42"/>
      <w:color w:val="0B2545"/>
    </w:rPr>
  </w:style>
  <w:style w:type="paragraph" w:styleId="Subtitle">
    <w:name w:val="Subtitle"/>
    <w:basedOn w:val="Normal"/>
    <w:qFormat/>
    <w:pPr>
      <w:spacing w:before="0" w:after="220"/>
    </w:pPr>
    <w:rPr>
      <w:rFonts w:ascii="Arial" w:hAnsi="Arial"/>
      <w:sz w:val="26"/>
      <w:color w:val="4B5563"/>
    </w:rPr>
  </w:style>
  <w:style w:type="paragraph" w:styleId="Heading1">
    <w:name w:val="Heading 1"/>
    <w:basedOn w:val="Normal"/>
    <w:qFormat/>
    <w:pPr>
      <w:spacing w:before="320" w:after="140"/>
    </w:pPr>
    <w:rPr>
      <w:rFonts w:ascii="Arial" w:hAnsi="Arial"/>
      <w:b/>
      <w:sz w:val="30"/>
      <w:color w:val="0B2545"/>
    </w:rPr>
  </w:style>
  <w:style w:type="paragraph" w:styleId="Heading2">
    <w:name w:val="Heading 2"/>
    <w:basedOn w:val="Normal"/>
    <w:qFormat/>
    <w:pPr>
      <w:spacing w:before="220" w:after="100"/>
    </w:pPr>
    <w:rPr>
      <w:rFonts w:ascii="Arial" w:hAnsi="Arial"/>
      <w:b/>
      <w:sz w:val="25"/>
      <w:color w:val="1F4D78"/>
    </w:rPr>
  </w:style>
  <w:style w:type="paragraph" w:styleId="Callout">
    <w:name w:val="Callout"/>
    <w:basedOn w:val="Normal"/>
    <w:qFormat/>
    <w:pPr>
      <w:spacing w:before="80" w:after="160" w:line="276" w:lineRule="auto"/>
      <w:ind w:left="240" w:right="240"/>
      <w:pBdr>
        <w:left w:val="single" w:sz="12" w:space="8" w:color="D6AA45"/>
      </w:pBdr>
    </w:pPr>
    <w:rPr>
      <w:rFonts w:ascii="Arial" w:hAnsi="Arial"/>
      <w:b/>
      <w:sz w:val="22"/>
      <w:color w:val="0B2545"/>
    </w:rPr>
  </w:style>
  <w:style w:type="paragraph" w:styleId="Bullet">
    <w:name w:val="Bullet"/>
    <w:basedOn w:val="Normal"/>
    <w:pPr>
      <w:spacing w:after="80"/>
      <w:ind w:left="360" w:hanging="180"/>
    </w:pPr>
    <w:rPr>
      <w:rFonts w:ascii="Arial" w:hAnsi="Arial"/>
      <w:sz w:val="22"/>
      <w:color w:val="111827"/>
    </w:rPr>
  </w:style>
  <w:style w:type="paragraph" w:styleId="Numbered">
    <w:name w:val="Numbered"/>
    <w:basedOn w:val="Normal"/>
    <w:pPr>
      <w:spacing w:after="80"/>
      <w:ind w:left="360" w:hanging="180"/>
    </w:pPr>
    <w:rPr>
      <w:rFonts w:ascii="Arial" w:hAnsi="Arial"/>
      <w:sz w:val="22"/>
      <w:color w:val="111827"/>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numbering" Target="numbering.xml"/>
</Relationships>

</file>