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GSN Trust Infrastructure</w:t>
      </w:r>
    </w:p>
    <w:p>
      <w:pPr>
        <w:pStyle w:val="Subtitle"/>
      </w:pPr>
      <w:r>
        <w:t xml:space="preserve">Investor brief: turning community-recognised trust into responsible infrastructure</w:t>
      </w:r>
    </w:p>
    <w:p>
      <w:r>
        <w:t xml:space="preserve">Prepared by: Nwafor Chuma, Founder, Global Support Network (GSN)</w:t>
      </w:r>
    </w:p>
    <w:p>
      <w:pPr>
        <w:pStyle w:val="Heading1"/>
      </w:pPr>
      <w:r>
        <w:t xml:space="preserve">Investor thesis</w:t>
      </w:r>
    </w:p>
    <w:p>
      <w:pPr>
        <w:pStyle w:val="Callout"/>
      </w:pPr>
      <w:r>
        <w:t xml:space="preserve">GSN is building Trust Infrastructure for communities: a system for preserving community-recognised behavioural evidence so individuals, shops, associations, and institutions can make stronger decisions without relying only on identity, credentials, financial records, or informal memory.</w:t>
      </w:r>
    </w:p>
    <w:p>
      <w:r>
        <w:t xml:space="preserve">The venture opportunity is not another social network or marketplace. It is an infrastructure layer for trust evidence across community membership, commerce, support, contribution, verification, and institutional decision-making.</w:t>
      </w:r>
    </w:p>
    <w:p>
      <w:pPr>
        <w:pStyle w:val="Heading1"/>
      </w:pPr>
      <w:r>
        <w:t xml:space="preserve">The problem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Communities already know who contributes, fulfils responsibility, trades honestly, repays, leads, supports others, and keeps commitments.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That behavioural knowledge is fragmented across memory, WhatsApp, leaders, receipts, committee records, and informal references.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When people move between communities, countries, schools, workplaces, or markets, much of the trust they already earned becomes invisible.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Existing platforms capture transactions, profiles, messages, or financial records, but they do not preserve community-recognised behavioural continuity with provenance and governance.</w:t>
      </w:r>
    </w:p>
    <w:p>
      <w:pPr>
        <w:pStyle w:val="Heading1"/>
      </w:pPr>
      <w:r>
        <w:t xml:space="preserve">The solution</w:t>
      </w:r>
    </w:p>
    <w:p>
      <w:r>
        <w:t xml:space="preserve">GSN provides a community-first infrastructure for preserving behavioural evidence and making it usable for specific decisions. It does this through Community Domains, Trust Events, Trust Passports, TrustSlips, Marketplace evidence, support/loan readiness, and community intelligence.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Community Domains preserve the environments where trust is recognised.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Trust Events preserve specific recognised behavioural evidence.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Trust Passports preserve continuity across communities.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TrustSlips present decision-specific evidence without exposing everything.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Marketplace and support rails turn trade, contribution, repayment, and responsibility into usable records.</w:t>
      </w:r>
    </w:p>
    <w:p>
      <w:pPr>
        <w:pStyle w:val="Heading1"/>
      </w:pPr>
      <w:r>
        <w:t xml:space="preserve">Why now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Digital identity is improving, but identity alone does not prove reliability, contribution, responsibility, or trusted participation.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Informal communities increasingly organise through digital channels, yet their trust evidence remains scattered and unstructured.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Diaspora, student, religious, cooperative, market, and association networks need portable evidence without surrendering local governance.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AI can only assist with trust decisions if meaningful, provenance-rich evidence exists first.</w:t>
      </w:r>
    </w:p>
    <w:p>
      <w:pPr>
        <w:pStyle w:val="Heading1"/>
      </w:pPr>
      <w:r>
        <w:t xml:space="preserve">Market entry strategy</w:t>
      </w:r>
    </w:p>
    <w:p>
      <w:r>
        <w:t xml:space="preserve">The safest early wedge is not a broad consumer launch. It is community-led pilots where the trust problem is visible and decision-specific.</w:t>
      </w:r>
    </w:p>
    <w:p>
      <w:pPr>
        <w:numPr>
          <w:ilvl w:val="0"/>
          <w:numId w:val="2"/>
        </w:numPr>
        <w:spacing w:after="80"/>
        <w:ind w:left="720" w:hanging="360"/>
      </w:pPr>
      <w:r>
        <w:t xml:space="preserve">Student societies and diaspora communities: membership, contribution, volunteering, leadership, and transition after graduation.</w:t>
      </w:r>
    </w:p>
    <w:p>
      <w:pPr>
        <w:numPr>
          <w:ilvl w:val="0"/>
          <w:numId w:val="2"/>
        </w:numPr>
        <w:spacing w:after="80"/>
        <w:ind w:left="720" w:hanging="360"/>
      </w:pPr>
      <w:r>
        <w:t xml:space="preserve">Market and shop communities: seller identity, public shop evidence, fulfilment, trade history, and customer confidence.</w:t>
      </w:r>
    </w:p>
    <w:p>
      <w:pPr>
        <w:numPr>
          <w:ilvl w:val="0"/>
          <w:numId w:val="2"/>
        </w:numPr>
        <w:spacing w:after="80"/>
        <w:ind w:left="720" w:hanging="360"/>
      </w:pPr>
      <w:r>
        <w:t xml:space="preserve">Savings circles and support groups: contribution records, repayment behaviour, support readiness, and responsibility evidence.</w:t>
      </w:r>
    </w:p>
    <w:p>
      <w:pPr>
        <w:numPr>
          <w:ilvl w:val="0"/>
          <w:numId w:val="2"/>
        </w:numPr>
        <w:spacing w:after="80"/>
        <w:ind w:left="720" w:hanging="360"/>
      </w:pPr>
      <w:r>
        <w:t xml:space="preserve">Associations, churches, unions, cooperatives, and NGOs: governance, membership, activity, and community memory.</w:t>
      </w:r>
    </w:p>
    <w:p>
      <w:pPr>
        <w:pStyle w:val="Heading1"/>
      </w:pPr>
      <w:r>
        <w:t xml:space="preserve">Business model hypotheses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Community Domain subscriptions for associations, societies, unions, cooperatives, markets, and institutions.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Shop and marketplace visibility tools tied to public evidence and community membership.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Trust document generation, verification, and institutional evidence services.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Premium community intelligence, governance, and compliance tooling for larger organisations.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Future API/infrastructure services for verified partners, subject to strict privacy and governance controls.</w:t>
      </w:r>
    </w:p>
    <w:p>
      <w:pPr>
        <w:pStyle w:val="Heading1"/>
      </w:pPr>
      <w:r>
        <w:t xml:space="preserve">Defensibility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Community graph and provenance: evidence is anchored in real community contexts, not generic profiles.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Trust event history: behavioural continuity improves over time as more governed evidence accumulates.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Institutional framing: GSN is positioned as infrastructure, not a casual app category.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Workflow depth: marketplace, support, trust documents, membership, governance, and community memory reinforce each other.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Founder insight: the product is built from a coherent first-principles theory rather than feature opportunism.</w:t>
      </w:r>
    </w:p>
    <w:p>
      <w:pPr>
        <w:pStyle w:val="Heading1"/>
      </w:pPr>
      <w:r>
        <w:t xml:space="preserve">Current proof status</w:t>
      </w:r>
    </w:p>
    <w:p>
      <w:r>
        <w:t xml:space="preserve">This is still early. The intellectual framework is strong, and the product direction is coherent, but investor-grade proof still requires customer discovery, pilot adoption, retention signals, willingness-to-pay evidence, and governance validation.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Do not overclaim adoption before pilots prove it.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Do not pitch Behavioural Capital as an accepted category yet; pitch it as a testable insight.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Do not hide the social-credit objection; answer it with safeguards, consent, provenance, correction, and purpose-limited disclosure.</w:t>
      </w:r>
    </w:p>
    <w:p>
      <w:pPr>
        <w:pStyle w:val="Heading1"/>
      </w:pPr>
      <w:r>
        <w:t xml:space="preserve">Risks and controls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Risk: the idea is mistaken for reputation scoring. Control: no global score, purpose-limited TrustSlips, provenance-first evidence.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Risk: communities record biased or harmful claims. Control: governance rules, correction pathways, evidence categories, and audit trails.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Risk: the product becomes too broad. Control: first pilot must focus on one community, one evidence type, and one decision.</w:t>
      </w:r>
    </w:p>
    <w:p>
      <w:pPr>
        <w:numPr>
          <w:ilvl w:val="0"/>
          <w:numId w:val="1"/>
        </w:numPr>
        <w:spacing w:after="80"/>
        <w:ind w:left="720" w:hanging="360"/>
      </w:pPr>
      <w:r>
        <w:t xml:space="preserve">Risk: privacy concerns block adoption. Control: consent, limited disclosure, non-public defaults, and clear boundaries on what is never recorded.</w:t>
      </w:r>
    </w:p>
    <w:p>
      <w:pPr>
        <w:pStyle w:val="Heading1"/>
      </w:pPr>
      <w:r>
        <w:t xml:space="preserve">Investor ask</w:t>
      </w:r>
    </w:p>
    <w:p>
      <w:r>
        <w:t xml:space="preserve">The immediate ask is not scale capital for a broad launch. The immediate ask is support for a disciplined validation phase: customer discovery, pilot design, product tightening, and evidence of demand in a narrow community wedge. Capital should accelerate proof, not substitute for it.</w:t>
      </w:r>
    </w:p>
    <w:sectPr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compat/>
</w:settings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60" w:line="276" w:lineRule="auto"/>
    </w:pPr>
    <w:rPr>
      <w:rFonts w:ascii="Arial" w:hAnsi="Arial"/>
      <w:sz w:val="22"/>
      <w:color w:val="111827"/>
    </w:rPr>
  </w:style>
  <w:style w:type="paragraph" w:styleId="Title">
    <w:name w:val="Title"/>
    <w:basedOn w:val="Normal"/>
    <w:qFormat/>
    <w:pPr>
      <w:spacing w:before="0" w:after="160"/>
    </w:pPr>
    <w:rPr>
      <w:rFonts w:ascii="Arial" w:hAnsi="Arial"/>
      <w:b/>
      <w:sz w:val="42"/>
      <w:color w:val="0B2545"/>
    </w:rPr>
  </w:style>
  <w:style w:type="paragraph" w:styleId="Subtitle">
    <w:name w:val="Subtitle"/>
    <w:basedOn w:val="Normal"/>
    <w:qFormat/>
    <w:pPr>
      <w:spacing w:before="0" w:after="220"/>
    </w:pPr>
    <w:rPr>
      <w:rFonts w:ascii="Arial" w:hAnsi="Arial"/>
      <w:sz w:val="26"/>
      <w:color w:val="4B5563"/>
    </w:rPr>
  </w:style>
  <w:style w:type="paragraph" w:styleId="Heading1">
    <w:name w:val="Heading 1"/>
    <w:basedOn w:val="Normal"/>
    <w:qFormat/>
    <w:pPr>
      <w:spacing w:before="320" w:after="140"/>
    </w:pPr>
    <w:rPr>
      <w:rFonts w:ascii="Arial" w:hAnsi="Arial"/>
      <w:b/>
      <w:sz w:val="30"/>
      <w:color w:val="0B2545"/>
    </w:rPr>
  </w:style>
  <w:style w:type="paragraph" w:styleId="Heading2">
    <w:name w:val="Heading 2"/>
    <w:basedOn w:val="Normal"/>
    <w:qFormat/>
    <w:pPr>
      <w:spacing w:before="220" w:after="100"/>
    </w:pPr>
    <w:rPr>
      <w:rFonts w:ascii="Arial" w:hAnsi="Arial"/>
      <w:b/>
      <w:sz w:val="25"/>
      <w:color w:val="1F4D78"/>
    </w:rPr>
  </w:style>
  <w:style w:type="paragraph" w:styleId="Callout">
    <w:name w:val="Callout"/>
    <w:basedOn w:val="Normal"/>
    <w:qFormat/>
    <w:pPr>
      <w:spacing w:before="80" w:after="160" w:line="276" w:lineRule="auto"/>
      <w:ind w:left="240" w:right="240"/>
      <w:pBdr>
        <w:left w:val="single" w:sz="12" w:space="8" w:color="D6AA45"/>
      </w:pBdr>
    </w:pPr>
    <w:rPr>
      <w:rFonts w:ascii="Arial" w:hAnsi="Arial"/>
      <w:b/>
      <w:sz w:val="22"/>
      <w:color w:val="0B2545"/>
    </w:rPr>
  </w:style>
  <w:style w:type="paragraph" w:styleId="Bullet">
    <w:name w:val="Bullet"/>
    <w:basedOn w:val="Normal"/>
    <w:pPr>
      <w:spacing w:after="80"/>
      <w:ind w:left="360" w:hanging="180"/>
    </w:pPr>
    <w:rPr>
      <w:rFonts w:ascii="Arial" w:hAnsi="Arial"/>
      <w:sz w:val="22"/>
      <w:color w:val="111827"/>
    </w:rPr>
  </w:style>
  <w:style w:type="paragraph" w:styleId="Numbered">
    <w:name w:val="Numbered"/>
    <w:basedOn w:val="Normal"/>
    <w:pPr>
      <w:spacing w:after="80"/>
      <w:ind w:left="360" w:hanging="180"/>
    </w:pPr>
    <w:rPr>
      <w:rFonts w:ascii="Arial" w:hAnsi="Arial"/>
      <w:sz w:val="22"/>
      <w:color w:val="111827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</Relationships>

</file>