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Trust Infrastructure</w:t>
      </w:r>
    </w:p>
    <w:p>
      <w:pPr>
        <w:pStyle w:val="Subtitle"/>
      </w:pPr>
      <w:r>
        <w:t xml:space="preserve">Academic evaluation copy for Robert Gordon University</w:t>
      </w:r>
    </w:p>
    <w:p>
      <w:r>
        <w:t xml:space="preserve">Prepared for: Chris Mulley, Director of Innovation and Entrepreneurship, Robert Gordon University</w:t>
      </w:r>
    </w:p>
    <w:p>
      <w:r>
        <w:t xml:space="preserve">Prepared by: Nwafor Chuma, Founder, Global Support Network (GSN)</w:t>
      </w:r>
    </w:p>
    <w:p>
      <w:r>
        <w:t xml:space="preserve">Purpose: customer discovery, research scrutiny, and early institutional evaluation</w:t>
      </w:r>
    </w:p>
    <w:p>
      <w:pPr>
        <w:pStyle w:val="Heading1"/>
      </w:pPr>
      <w:r>
        <w:t xml:space="preserve">Core submission</w:t>
      </w:r>
    </w:p>
    <w:p>
      <w:pPr>
        <w:pStyle w:val="Callout"/>
      </w:pPr>
      <w:r>
        <w:t xml:space="preserve">This copy is written for academic and innovation review. It does not ask Robert Gordon University to accept a finished product. It asks whether the underlying framework describes a real societal phenomenon that deserves structured research, customer discovery, and carefully governed pilot evaluation.</w:t>
      </w:r>
    </w:p>
    <w:p>
      <w:r>
        <w:t xml:space="preserve">The central proposition is that communities already observe behaviour, recognise behavioural consistency, establish behavioural placement, and use that placement when allocating responsibility and opportunity. The problem is not that communities fail to recognise people. The problem is that this recognised behavioural knowledge is often lost when people move between families, schools, workplaces, markets, associations, communities, and countries.</w:t>
      </w:r>
    </w:p>
    <w:p>
      <w:r>
        <w:t xml:space="preserve">The Trust Infrastructure is proposed as a constitutional and technical framework for preserving recognised behavioural continuity with provenance, community sovereignty, and human judgement intact. GSN is presented as the first operational implementation of that framework.</w:t>
      </w:r>
    </w:p>
    <w:p>
      <w:pPr>
        <w:pStyle w:val="Heading1"/>
      </w:pPr>
      <w:r>
        <w:t xml:space="preserve">What the paper is asking RGU to examine</w:t>
      </w:r>
    </w:p>
    <w:p>
      <w:pPr>
        <w:numPr>
          <w:ilvl w:val="0"/>
          <w:numId w:val="1"/>
        </w:numPr>
        <w:spacing w:after="80"/>
        <w:ind w:left="720" w:hanging="360"/>
      </w:pPr>
      <w:r>
        <w:t xml:space="preserve">Whether Behavioural Placement is a useful research term for the way communities gradually understand people through repeated lived interaction.</w:t>
      </w:r>
    </w:p>
    <w:p>
      <w:pPr>
        <w:numPr>
          <w:ilvl w:val="0"/>
          <w:numId w:val="1"/>
        </w:numPr>
        <w:spacing w:after="80"/>
        <w:ind w:left="720" w:hanging="360"/>
      </w:pPr>
      <w:r>
        <w:t xml:space="preserve">Whether Behavioural Capital is a defensible term for the durable societal value that emerges when recognised behavioural consistency begins shaping responsibility, confidence, and opportunity.</w:t>
      </w:r>
    </w:p>
    <w:p>
      <w:pPr>
        <w:numPr>
          <w:ilvl w:val="0"/>
          <w:numId w:val="1"/>
        </w:numPr>
        <w:spacing w:after="80"/>
        <w:ind w:left="720" w:hanging="360"/>
      </w:pPr>
      <w:r>
        <w:t xml:space="preserve">Whether a digital infrastructure can preserve recognised behavioural continuity without becoming reputation scoring, social credit, surveillance, or automated judgement.</w:t>
      </w:r>
    </w:p>
    <w:p>
      <w:pPr>
        <w:numPr>
          <w:ilvl w:val="0"/>
          <w:numId w:val="1"/>
        </w:numPr>
        <w:spacing w:after="80"/>
        <w:ind w:left="720" w:hanging="360"/>
      </w:pPr>
      <w:r>
        <w:t xml:space="preserve">Whether GSN's current capabilities faithfully preserve real human processes rather than simply grouping unrelated software features under one brand.</w:t>
      </w:r>
    </w:p>
    <w:p>
      <w:pPr>
        <w:numPr>
          <w:ilvl w:val="0"/>
          <w:numId w:val="1"/>
        </w:numPr>
        <w:spacing w:after="80"/>
        <w:ind w:left="720" w:hanging="360"/>
      </w:pPr>
      <w:r>
        <w:t xml:space="preserve">Whether customer discovery can identify a narrow first pilot where the theory becomes testable in practice.</w:t>
      </w:r>
    </w:p>
    <w:p>
      <w:pPr>
        <w:pStyle w:val="Heading1"/>
      </w:pPr>
      <w:r>
        <w:t xml:space="preserve">Research framing</w:t>
      </w:r>
    </w:p>
    <w:p>
      <w:r>
        <w:t xml:space="preserve">The research question should not be, 'Do people like GSN?' A stronger question is: 'Do communities already create recognised behavioural knowledge, and can that knowledge be preserved responsibly in a way that improves institutional and community decision-making?'</w:t>
      </w:r>
    </w:p>
    <w:p>
      <w:r>
        <w:t xml:space="preserve">This makes the next stage a research and discovery programme rather than a product demo. The platform matters, but only as a living implementation through which the underlying theory can be tested, challenged, and refined.</w:t>
      </w:r>
    </w:p>
    <w:p>
      <w:pPr>
        <w:pStyle w:val="Heading2"/>
      </w:pPr>
      <w:r>
        <w:t xml:space="preserve">Proposed research questions</w:t>
      </w:r>
    </w:p>
    <w:p>
      <w:pPr>
        <w:numPr>
          <w:ilvl w:val="0"/>
          <w:numId w:val="2"/>
        </w:numPr>
        <w:spacing w:after="80"/>
        <w:ind w:left="720" w:hanging="360"/>
      </w:pPr>
      <w:r>
        <w:t xml:space="preserve">Can Behavioural Placement be observed consistently across different community types?</w:t>
      </w:r>
    </w:p>
    <w:p>
      <w:pPr>
        <w:numPr>
          <w:ilvl w:val="0"/>
          <w:numId w:val="2"/>
        </w:numPr>
        <w:spacing w:after="80"/>
        <w:ind w:left="720" w:hanging="360"/>
      </w:pPr>
      <w:r>
        <w:t xml:space="preserve">Which behaviours do communities already recognise when deciding responsibility, recommendation, support, trade, and leadership?</w:t>
      </w:r>
    </w:p>
    <w:p>
      <w:pPr>
        <w:numPr>
          <w:ilvl w:val="0"/>
          <w:numId w:val="2"/>
        </w:numPr>
        <w:spacing w:after="80"/>
        <w:ind w:left="720" w:hanging="360"/>
      </w:pPr>
      <w:r>
        <w:t xml:space="preserve">Which behavioural records are appropriate to preserve, and which should never be preserved?</w:t>
      </w:r>
    </w:p>
    <w:p>
      <w:pPr>
        <w:numPr>
          <w:ilvl w:val="0"/>
          <w:numId w:val="2"/>
        </w:numPr>
        <w:spacing w:after="80"/>
        <w:ind w:left="720" w:hanging="360"/>
      </w:pPr>
      <w:r>
        <w:t xml:space="preserve">What governance, consent, correction, and appeal mechanisms are required before behavioural continuity can be responsibly communicated?</w:t>
      </w:r>
    </w:p>
    <w:p>
      <w:pPr>
        <w:numPr>
          <w:ilvl w:val="0"/>
          <w:numId w:val="2"/>
        </w:numPr>
        <w:spacing w:after="80"/>
        <w:ind w:left="720" w:hanging="360"/>
      </w:pPr>
      <w:r>
        <w:t xml:space="preserve">Does a TrustSlip or Trust Passport improve a decision-maker's understanding without replacing their judgement?</w:t>
      </w:r>
    </w:p>
    <w:p>
      <w:pPr>
        <w:numPr>
          <w:ilvl w:val="0"/>
          <w:numId w:val="2"/>
        </w:numPr>
        <w:spacing w:after="80"/>
        <w:ind w:left="720" w:hanging="360"/>
      </w:pPr>
      <w:r>
        <w:t xml:space="preserve">Which first-use case creates the clearest benefit with the lowest ethical and operational risk?</w:t>
      </w:r>
    </w:p>
    <w:p>
      <w:pPr>
        <w:pStyle w:val="Heading1"/>
      </w:pPr>
      <w:r>
        <w:t xml:space="preserve">Suggested customer discovery route</w:t>
      </w:r>
    </w:p>
    <w:p>
      <w:r>
        <w:t xml:space="preserve">The first discovery setting should be small, concrete, and community-led. A student society, association, cooperative, market group, or diaspora community is preferable to a broad public launch. The session should test whether people recognise the problem before showing too much product.</w:t>
      </w:r>
    </w:p>
    <w:p>
      <w:pPr>
        <w:numPr>
          <w:ilvl w:val="0"/>
          <w:numId w:val="1"/>
        </w:numPr>
        <w:spacing w:after="80"/>
        <w:ind w:left="720" w:hanging="360"/>
      </w:pPr>
      <w:r>
        <w:t xml:space="preserve">Start with real decisions: joining, recommending, borrowing, selling, volunteering, leading, or vouching.</w:t>
      </w:r>
    </w:p>
    <w:p>
      <w:pPr>
        <w:numPr>
          <w:ilvl w:val="0"/>
          <w:numId w:val="1"/>
        </w:numPr>
        <w:spacing w:after="80"/>
        <w:ind w:left="720" w:hanging="360"/>
      </w:pPr>
      <w:r>
        <w:t xml:space="preserve">Ask where trust currently lives: WhatsApp groups, memories, committee records, informal references, personal knowledge, receipts, photos, or leader judgement.</w:t>
      </w:r>
    </w:p>
    <w:p>
      <w:pPr>
        <w:numPr>
          <w:ilvl w:val="0"/>
          <w:numId w:val="1"/>
        </w:numPr>
        <w:spacing w:after="80"/>
        <w:ind w:left="720" w:hanging="360"/>
      </w:pPr>
      <w:r>
        <w:t xml:space="preserve">Ask what is currently lost when people move away or leadership changes.</w:t>
      </w:r>
    </w:p>
    <w:p>
      <w:pPr>
        <w:numPr>
          <w:ilvl w:val="0"/>
          <w:numId w:val="1"/>
        </w:numPr>
        <w:spacing w:after="80"/>
        <w:ind w:left="720" w:hanging="360"/>
      </w:pPr>
      <w:r>
        <w:t xml:space="preserve">Ask what people would refuse to record, share, or allow others to see.</w:t>
      </w:r>
    </w:p>
    <w:p>
      <w:pPr>
        <w:numPr>
          <w:ilvl w:val="0"/>
          <w:numId w:val="1"/>
        </w:numPr>
        <w:spacing w:after="80"/>
        <w:ind w:left="720" w:hanging="360"/>
      </w:pPr>
      <w:r>
        <w:t xml:space="preserve">Ask whether the first pilot should begin with membership records, contribution records, event participation, shop/trade evidence, or support/loan readiness.</w:t>
      </w:r>
    </w:p>
    <w:p>
      <w:pPr>
        <w:pStyle w:val="Heading1"/>
      </w:pPr>
      <w:r>
        <w:t xml:space="preserve">Safeguards and ethical boundaries</w:t>
      </w:r>
    </w:p>
    <w:p>
      <w:r>
        <w:t xml:space="preserve">This section is essential. Without it, the framework can be misunderstood as reputation scoring or social credit. The safe version of the Trust Infrastructure must be built around restraint.</w:t>
      </w:r>
    </w:p>
    <w:p>
      <w:pPr>
        <w:numPr>
          <w:ilvl w:val="0"/>
          <w:numId w:val="1"/>
        </w:numPr>
        <w:spacing w:after="80"/>
        <w:ind w:left="720" w:hanging="360"/>
      </w:pPr>
      <w:r>
        <w:t xml:space="preserve">Evidence must have provenance: who recognised it, in which community, under what authority, and for what purpose.</w:t>
      </w:r>
    </w:p>
    <w:p>
      <w:pPr>
        <w:numPr>
          <w:ilvl w:val="0"/>
          <w:numId w:val="1"/>
        </w:numPr>
        <w:spacing w:after="80"/>
        <w:ind w:left="720" w:hanging="360"/>
      </w:pPr>
      <w:r>
        <w:t xml:space="preserve">Disclosure must be purpose-limited: a TrustSlip should reveal only the evidence relevant to a specific decision, not a person's whole life.</w:t>
      </w:r>
    </w:p>
    <w:p>
      <w:pPr>
        <w:numPr>
          <w:ilvl w:val="0"/>
          <w:numId w:val="1"/>
        </w:numPr>
        <w:spacing w:after="80"/>
        <w:ind w:left="720" w:hanging="360"/>
      </w:pPr>
      <w:r>
        <w:t xml:space="preserve">Communities must retain governance: GSN should preserve community-recognised evidence, not centralise moral authority.</w:t>
      </w:r>
    </w:p>
    <w:p>
      <w:pPr>
        <w:numPr>
          <w:ilvl w:val="0"/>
          <w:numId w:val="1"/>
        </w:numPr>
        <w:spacing w:after="80"/>
        <w:ind w:left="720" w:hanging="360"/>
      </w:pPr>
      <w:r>
        <w:t xml:space="preserve">Individuals must have correction paths: wrong, outdated, malicious, or misunderstood records must be challengeable.</w:t>
      </w:r>
    </w:p>
    <w:p>
      <w:pPr>
        <w:numPr>
          <w:ilvl w:val="0"/>
          <w:numId w:val="1"/>
        </w:numPr>
        <w:spacing w:after="80"/>
        <w:ind w:left="720" w:hanging="360"/>
      </w:pPr>
      <w:r>
        <w:t xml:space="preserve">GSN must reject popularity scoring: visibility, friendship, wealth, or loud support must not become behavioural proof.</w:t>
      </w:r>
    </w:p>
    <w:p>
      <w:pPr>
        <w:numPr>
          <w:ilvl w:val="0"/>
          <w:numId w:val="1"/>
        </w:numPr>
        <w:spacing w:after="80"/>
        <w:ind w:left="720" w:hanging="360"/>
      </w:pPr>
      <w:r>
        <w:t xml:space="preserve">AI must remain assistive: it may organise preserved evidence, but it must not create trust or make final human decisions.</w:t>
      </w:r>
    </w:p>
    <w:p>
      <w:pPr>
        <w:pStyle w:val="Heading1"/>
      </w:pPr>
      <w:r>
        <w:t xml:space="preserve">What this copy does not claim</w:t>
      </w:r>
    </w:p>
    <w:p>
      <w:pPr>
        <w:numPr>
          <w:ilvl w:val="0"/>
          <w:numId w:val="1"/>
        </w:numPr>
        <w:spacing w:after="80"/>
        <w:ind w:left="720" w:hanging="360"/>
      </w:pPr>
      <w:r>
        <w:t xml:space="preserve">It does not claim that GSN has already proven adoption.</w:t>
      </w:r>
    </w:p>
    <w:p>
      <w:pPr>
        <w:numPr>
          <w:ilvl w:val="0"/>
          <w:numId w:val="1"/>
        </w:numPr>
        <w:spacing w:after="80"/>
        <w:ind w:left="720" w:hanging="360"/>
      </w:pPr>
      <w:r>
        <w:t xml:space="preserve">It does not claim that Behavioural Capital is already an accepted academic category.</w:t>
      </w:r>
    </w:p>
    <w:p>
      <w:pPr>
        <w:numPr>
          <w:ilvl w:val="0"/>
          <w:numId w:val="1"/>
        </w:numPr>
        <w:spacing w:after="80"/>
        <w:ind w:left="720" w:hanging="360"/>
      </w:pPr>
      <w:r>
        <w:t xml:space="preserve">It does not claim that software can safely preserve behavioural evidence without governance.</w:t>
      </w:r>
    </w:p>
    <w:p>
      <w:pPr>
        <w:numPr>
          <w:ilvl w:val="0"/>
          <w:numId w:val="1"/>
        </w:numPr>
        <w:spacing w:after="80"/>
        <w:ind w:left="720" w:hanging="360"/>
      </w:pPr>
      <w:r>
        <w:t xml:space="preserve">It does not ask RGU to endorse the company before evidence is gathered.</w:t>
      </w:r>
    </w:p>
    <w:p>
      <w:pPr>
        <w:numPr>
          <w:ilvl w:val="0"/>
          <w:numId w:val="1"/>
        </w:numPr>
        <w:spacing w:after="80"/>
        <w:ind w:left="720" w:hanging="360"/>
      </w:pPr>
      <w:r>
        <w:t xml:space="preserve">It asks RGU to help examine whether the phenomenon, framework, and first implementation deserve structured evaluation.</w:t>
      </w:r>
    </w:p>
    <w:p>
      <w:pPr>
        <w:pStyle w:val="Heading1"/>
      </w:pPr>
      <w:r>
        <w:t xml:space="preserve">Near-term ask</w:t>
      </w:r>
    </w:p>
    <w:p>
      <w:r>
        <w:t xml:space="preserve">The immediate ask is for RGU to support a focused customer discovery and evaluation process: refine the theory, test the language with real communities, identify the first low-risk pilot, and determine what evidence would be required before any endorsement or deeper institutional partnership is considered.</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Arial" w:hAnsi="Arial" w:hint="default"/>
      </w:r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ettings.xml><?xml version="1.0" encoding="utf-8"?>
<w:settings xmlns:w="http://schemas.openxmlformats.org/wordprocessingml/2006/main">
  <w:compat/>
</w:settings>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color w:val="111827"/>
    </w:rPr>
  </w:style>
  <w:style w:type="paragraph" w:styleId="Title">
    <w:name w:val="Title"/>
    <w:basedOn w:val="Normal"/>
    <w:qFormat/>
    <w:pPr>
      <w:spacing w:before="0" w:after="160"/>
    </w:pPr>
    <w:rPr>
      <w:rFonts w:ascii="Arial" w:hAnsi="Arial"/>
      <w:b/>
      <w:sz w:val="42"/>
      <w:color w:val="0B2545"/>
    </w:rPr>
  </w:style>
  <w:style w:type="paragraph" w:styleId="Subtitle">
    <w:name w:val="Subtitle"/>
    <w:basedOn w:val="Normal"/>
    <w:qFormat/>
    <w:pPr>
      <w:spacing w:before="0" w:after="220"/>
    </w:pPr>
    <w:rPr>
      <w:rFonts w:ascii="Arial" w:hAnsi="Arial"/>
      <w:sz w:val="26"/>
      <w:color w:val="4B5563"/>
    </w:rPr>
  </w:style>
  <w:style w:type="paragraph" w:styleId="Heading1">
    <w:name w:val="Heading 1"/>
    <w:basedOn w:val="Normal"/>
    <w:qFormat/>
    <w:pPr>
      <w:spacing w:before="320" w:after="140"/>
    </w:pPr>
    <w:rPr>
      <w:rFonts w:ascii="Arial" w:hAnsi="Arial"/>
      <w:b/>
      <w:sz w:val="30"/>
      <w:color w:val="0B2545"/>
    </w:rPr>
  </w:style>
  <w:style w:type="paragraph" w:styleId="Heading2">
    <w:name w:val="Heading 2"/>
    <w:basedOn w:val="Normal"/>
    <w:qFormat/>
    <w:pPr>
      <w:spacing w:before="220" w:after="100"/>
    </w:pPr>
    <w:rPr>
      <w:rFonts w:ascii="Arial" w:hAnsi="Arial"/>
      <w:b/>
      <w:sz w:val="25"/>
      <w:color w:val="1F4D78"/>
    </w:rPr>
  </w:style>
  <w:style w:type="paragraph" w:styleId="Callout">
    <w:name w:val="Callout"/>
    <w:basedOn w:val="Normal"/>
    <w:qFormat/>
    <w:pPr>
      <w:spacing w:before="80" w:after="160" w:line="276" w:lineRule="auto"/>
      <w:ind w:left="240" w:right="240"/>
      <w:pBdr>
        <w:left w:val="single" w:sz="12" w:space="8" w:color="D6AA45"/>
      </w:pBdr>
    </w:pPr>
    <w:rPr>
      <w:rFonts w:ascii="Arial" w:hAnsi="Arial"/>
      <w:b/>
      <w:sz w:val="22"/>
      <w:color w:val="0B2545"/>
    </w:rPr>
  </w:style>
  <w:style w:type="paragraph" w:styleId="Bullet">
    <w:name w:val="Bullet"/>
    <w:basedOn w:val="Normal"/>
    <w:pPr>
      <w:spacing w:after="80"/>
      <w:ind w:left="360" w:hanging="180"/>
    </w:pPr>
    <w:rPr>
      <w:rFonts w:ascii="Arial" w:hAnsi="Arial"/>
      <w:sz w:val="22"/>
      <w:color w:val="111827"/>
    </w:rPr>
  </w:style>
  <w:style w:type="paragraph" w:styleId="Numbered">
    <w:name w:val="Numbered"/>
    <w:basedOn w:val="Normal"/>
    <w:pPr>
      <w:spacing w:after="80"/>
      <w:ind w:left="360" w:hanging="180"/>
    </w:pPr>
    <w:rPr>
      <w:rFonts w:ascii="Arial" w:hAnsi="Arial"/>
      <w:sz w:val="22"/>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