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Cooperative, Market and Business Network Real-Life Copy (2026-09-14)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 | Source-controlled in gmfn_mvp/docs | Document date: 2026-09-14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rPr>
          <w:color w:val="0B2545"/>
        </w:rPr>
        <w:t>How to Use This Document</w:t>
      </w:r>
    </w:p>
    <w:p>
      <w:r>
        <w:t>For cooperatives, traders, market associations, seller groups and local enterprise networks.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copy as an audience-specific conversation pack. It deliberately excludes many modules from the master bank so the receiver sees only what concerns them.</w:t>
      </w:r>
    </w:p>
    <w:p>
      <w:pPr>
        <w:pStyle w:val="Heading1"/>
      </w:pPr>
      <w:r>
        <w:rPr>
          <w:color w:val="0B2545"/>
        </w:rPr>
        <w:t>Capability Modules</w:t>
      </w:r>
    </w:p>
    <w:p>
      <w:pPr>
        <w:pStyle w:val="Heading1"/>
      </w:pPr>
      <w:r>
        <w:rPr>
          <w:color w:val="0B2545"/>
        </w:rP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rPr>
          <w:color w:val="0B2545"/>
        </w:rP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rPr>
          <w:color w:val="0B2545"/>
        </w:rP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rPr>
          <w:color w:val="0B2545"/>
        </w:rP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rPr>
          <w:color w:val="0B2545"/>
        </w:rP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rPr>
          <w:color w:val="0B2545"/>
        </w:rP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rPr>
          <w:color w:val="0B2545"/>
        </w:rP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rPr>
          <w:color w:val="0B2545"/>
        </w:rP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rPr>
          <w:color w:val="0B2545"/>
        </w:rP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rPr>
          <w:color w:val="0B2545"/>
        </w:rP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rPr>
          <w:color w:val="0B2545"/>
        </w:rP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rPr>
          <w:color w:val="0B2545"/>
        </w:rP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rPr>
          <w:color w:val="0B2545"/>
        </w:rP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rPr>
          <w:color w:val="0B2545"/>
        </w:rP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rPr>
          <w:color w:val="0B2545"/>
        </w:rP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rPr>
          <w:color w:val="0B2545"/>
        </w:rP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rPr>
          <w:color w:val="0B2545"/>
        </w:rP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rPr>
          <w:color w:val="0B2545"/>
        </w:rP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rPr>
          <w:color w:val="0B2545"/>
        </w:rP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rPr>
          <w:color w:val="0B2545"/>
        </w:rP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rPr>
          <w:color w:val="0B2545"/>
        </w:rP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rPr>
          <w:color w:val="0B2545"/>
        </w:rPr>
        <w:t>22. Cross-Community Opportunity Movement</w:t>
      </w:r>
    </w:p>
    <w:p>
      <w:r>
        <w:t>Current truth boundary: Capability direction requiring permission and community rules.</w:t>
      </w:r>
    </w:p>
    <w:p>
      <w:r>
        <w:t>The real-life problem: A need in one community may be solved by another, but uncontrolled cross-posting creates spam and privacy risk.</w:t>
      </w:r>
    </w:p>
    <w:p>
      <w:r>
        <w:t>What GSN adds: GSN can make opportunities portable across approved community boundaries while still attaching context.</w:t>
      </w:r>
    </w:p>
    <w:p>
      <w:r>
        <w:t>Why it is important: Opportunity grows when trust and relevance travel carefully.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request can remain community-scoped while being presented to a permitted outside network.</w:t>
      </w:r>
    </w:p>
    <w:p>
      <w:r>
        <w:t>What not to overclaim: No cross-community discovery should happen without rules, consent and route checks.</w:t>
      </w:r>
    </w:p>
    <w:p>
      <w:pPr>
        <w:pStyle w:val="Heading1"/>
      </w:pPr>
      <w:r>
        <w:rPr>
          <w:color w:val="0B2545"/>
        </w:rPr>
        <w:t>23. Private Vault and Controlled Offers</w:t>
      </w:r>
    </w:p>
    <w:p>
      <w:r>
        <w:t>Current truth boundary: Partial/on-demand where private vault links exist.</w:t>
      </w:r>
    </w:p>
    <w:p>
      <w:r>
        <w:t>The real-life problem: Some offers or records should be shared with a specific person, not the whole community.</w:t>
      </w:r>
    </w:p>
    <w:p>
      <w:r>
        <w:t>What GSN adds: GSN can support owner-issued private links or controlled views for sensitive records.</w:t>
      </w:r>
    </w:p>
    <w:p>
      <w:r>
        <w:t>Why it is important: Privacy is part of trust. Not everything useful should be public.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private link can carry enough evidence for a decision without exposing the whole account.</w:t>
      </w:r>
    </w:p>
    <w:p>
      <w:r>
        <w:t>What not to overclaim: Private link security and expiry behaviour must be verified before sensitive use.</w:t>
      </w:r>
    </w:p>
    <w:p>
      <w:pPr>
        <w:pStyle w:val="Heading1"/>
      </w:pPr>
      <w:r>
        <w:rPr>
          <w:color w:val="0B2545"/>
        </w:rPr>
        <w:t>24. Buyer-Seller Terms Before Money or Goods Move</w:t>
      </w:r>
    </w:p>
    <w:p>
      <w:r>
        <w:t>Current truth boundary: Capability direction around TrustSlip, evidence and release-before-payment concepts.</w:t>
      </w:r>
    </w:p>
    <w:p>
      <w:r>
        <w:t>The real-life problem: Many disputes begin because people acted before basic terms were clear.</w:t>
      </w:r>
    </w:p>
    <w:p>
      <w:r>
        <w:t>What GSN adds: GSN can help present the item, identities, expectations and evidence before action.</w:t>
      </w:r>
    </w:p>
    <w:p>
      <w:r>
        <w:t>Why it is important: A small record before movement can prevent a large quarrel after movement.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question changes from do you know him to what evidence is visible before I act.</w:t>
      </w:r>
    </w:p>
    <w:p>
      <w:r>
        <w:t>What not to overclaim: GSN evidence supports decision-making; the receiving person decides whether to proceed.</w:t>
      </w:r>
    </w:p>
    <w:p>
      <w:pPr>
        <w:pStyle w:val="Heading1"/>
      </w:pPr>
      <w:r>
        <w:rPr>
          <w:color w:val="0B2545"/>
        </w:rPr>
        <w:t>25.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rPr>
          <w:color w:val="0B2545"/>
        </w:rPr>
        <w:t>26.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rPr>
          <w:color w:val="0B2545"/>
        </w:rPr>
        <w:t>27.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rPr>
          <w:color w:val="0B2545"/>
        </w:rPr>
        <w:t>28.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rPr>
          <w:color w:val="0B2545"/>
        </w:rPr>
        <w:t>29.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rPr>
          <w:color w:val="0B2545"/>
        </w:rPr>
        <w:t>30.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rPr>
          <w:color w:val="0B2545"/>
        </w:rPr>
        <w:t>31.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rPr>
          <w:color w:val="0B2545"/>
        </w:rPr>
        <w:t>32.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rPr>
          <w:color w:val="0B2545"/>
        </w:rPr>
        <w:t>33. Opportunity Engine as Advanced Evidence-Led Analytics</w:t>
      </w:r>
    </w:p>
    <w:p>
      <w:r>
        <w:t>Current truth boundary: Advanced/experimental analytics surface; not a separate setup flow unless the live product requires one.</w:t>
      </w:r>
    </w:p>
    <w:p>
      <w:r>
        <w:t>The real-life problem: Communities generate signals every day but rarely connect demand, supply, trust, attendance, trade and repeated needs.</w:t>
      </w:r>
    </w:p>
    <w:p>
      <w:r>
        <w:t>What GSN adds: GSN can read across Shop, I Can Help With, DemandBox, Ask Community, Spotlight, Repost, Shop Control, Market Wisdom, TrustGraph, TrustPassport and community context.</w:t>
      </w:r>
    </w:p>
    <w:p>
      <w:r>
        <w:t>Why it is important: The highest value may come from seeing what the community is becoming before everybody else notices.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show lenses, graphs, snapshots and next actions, not one endless text thread.</w:t>
      </w:r>
    </w:p>
    <w:p>
      <w:r>
        <w:t>What not to overclaim: Do not expose private graph logic. No CAC/LTV modelling or AI interpretation until deliberately approved.</w:t>
      </w:r>
    </w:p>
    <w:p>
      <w:pPr>
        <w:pStyle w:val="Heading1"/>
      </w:pPr>
      <w:r>
        <w:rPr>
          <w:color w:val="0B2545"/>
        </w:rPr>
        <w:t>34.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rPr>
          <w:color w:val="0B2545"/>
        </w:rPr>
        <w:t>35. Trust Savings and ROSCA Support</w:t>
      </w:r>
    </w:p>
    <w:p>
      <w:r>
        <w:t>Current truth boundary: Capability direction/non-custodial unless finance workflows confirm more.</w:t>
      </w:r>
    </w:p>
    <w:p>
      <w:r>
        <w:t>The real-life problem: Rotating contribution groups depend on memory, social pressure and manual records.</w:t>
      </w:r>
    </w:p>
    <w:p>
      <w:r>
        <w:t>What GSN adds: GSN can organise participants, expectations, contribution evidence, turns, reminders and dispute context without holding funds.</w:t>
      </w:r>
    </w:p>
    <w:p>
      <w:r>
        <w:t>Why it is important: The trust circle becomes stronger when records are clear.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accountability around the money, not pretending GSN is the bank.</w:t>
      </w:r>
    </w:p>
    <w:p>
      <w:r>
        <w:t>What not to overclaim: Do not claim custody, lending or regulated financial services unless legally implemented.</w:t>
      </w:r>
    </w:p>
    <w:p>
      <w:pPr>
        <w:pStyle w:val="Heading1"/>
      </w:pPr>
      <w:r>
        <w:rPr>
          <w:color w:val="0B2545"/>
        </w:rPr>
        <w:t>36.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rPr>
          <w:color w:val="0B2545"/>
        </w:rPr>
        <w:t>37.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rPr>
          <w:color w:val="0B2545"/>
        </w:rPr>
        <w:t>38. Diaspora Trust Bridge</w:t>
      </w:r>
    </w:p>
    <w:p>
      <w:r>
        <w:t>Current truth boundary: Capability direction using identity, public verification, TrustSlip and controlled links.</w:t>
      </w:r>
    </w:p>
    <w:p>
      <w:r>
        <w:t>The real-life problem: People abroad want to support home communities but struggle to verify people, needs, projects and outcomes.</w:t>
      </w:r>
    </w:p>
    <w:p>
      <w:r>
        <w:t>What GSN adds: GSN can package community identity, records, requests and selected evidence into a bridge that distant supporters can inspect.</w:t>
      </w:r>
    </w:p>
    <w:p>
      <w:r>
        <w:t>Why it is important: Distance reduces trust unless evidence travels well.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Supporters do not need to be physically present to see a structured record.</w:t>
      </w:r>
    </w:p>
    <w:p>
      <w:r>
        <w:t>What not to overclaim: Distant verification still requires judgement and sometimes independent checks.</w:t>
      </w:r>
    </w:p>
    <w:p>
      <w:pPr>
        <w:pStyle w:val="Heading1"/>
      </w:pPr>
      <w:r>
        <w:rPr>
          <w:color w:val="0B2545"/>
        </w:rPr>
        <w:t>39.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rPr>
          <w:color w:val="0B2545"/>
        </w:rPr>
        <w:t>40. Cooperative and Market Resource Pooling</w:t>
      </w:r>
    </w:p>
    <w:p>
      <w:r>
        <w:t>Current truth boundary: Capability direction using membership, contributions, shops, DemandBox and records.</w:t>
      </w:r>
    </w:p>
    <w:p>
      <w:r>
        <w:t>The real-life problem: Groups want to pool resources, bulk buy, share tools or fund projects, but records become political.</w:t>
      </w:r>
    </w:p>
    <w:p>
      <w:r>
        <w:t>What GSN adds: GSN can structure who is involved, what is needed, who committed, what evidence exists and what outcome followed.</w:t>
      </w:r>
    </w:p>
    <w:p>
      <w:r>
        <w:t>Why it is important: Pooling value requires shared memory and fair visibility.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market association can move from verbal agreement to a traceable resource plan.</w:t>
      </w:r>
    </w:p>
    <w:p>
      <w:r>
        <w:t>What not to overclaim: Legal cooperative finance, custody and investment activity require separate compliance.</w:t>
      </w:r>
    </w:p>
    <w:p>
      <w:pPr>
        <w:pStyle w:val="Heading1"/>
      </w:pPr>
      <w:r>
        <w:rPr>
          <w:color w:val="0B2545"/>
        </w:rPr>
        <w:t>41.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p>
      <w:r>
        <w:br w:type="page"/>
      </w:r>
    </w:p>
    <w:p>
      <w:pPr>
        <w:jc w:val="center"/>
      </w:pPr>
      <w:r>
        <w:rPr>
          <w:b/>
          <w:color w:val="0B2545"/>
          <w:sz w:val="32"/>
        </w:rPr>
        <w:t>Scan to download this GSN article</w:t>
      </w:r>
    </w:p>
    <w:p>
      <w:pPr>
        <w:jc w:val="center"/>
      </w:pPr>
      <w:r>
        <w:rPr>
          <w:b/>
        </w:rPr>
        <w:t>Cooperative, Market and Business Network Copy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erative-market-business-network-pd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For: Cooperatives, markets and business groups</w:t>
      </w:r>
    </w:p>
    <w:p>
      <w:pPr>
        <w:jc w:val="center"/>
      </w:pPr>
      <w:r>
        <w:t>https://raw.githubusercontent.com/chumanwafor216-svg/gmfn-mvp/main/docs/gsn-user-</w:t>
      </w:r>
      <w:r>
        <w:br/>
      </w:r>
      <w:r>
        <w:t>guide/real-life-capability-</w:t>
      </w:r>
      <w:r>
        <w:br/>
      </w:r>
      <w:r>
        <w:t>bank/GSN_IN_REAL_LIFE_COOPERATIVE_MARKET_BUSINESS_NETWORK_COPY.pdf</w:t>
      </w:r>
      <w:r>
        <w:br/>
      </w:r>
    </w:p>
    <w:p>
      <w:pPr>
        <w:jc w:val="center"/>
      </w:pPr>
      <w:r>
        <w:t>QR access depends on the file being publicly reachable or shared through an approved public mirror.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