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Audience Pick Lists for Community Setup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Use this file when you do not want to send a full audience copy. The master bank remains the full source. The audience copies are detailed reference packs. These pick lists are the first-send versions for specific conversations.</w:t>
      </w:r>
    </w:p>
    <w:p>
      <w:r>
        <w:t>Always check the verified self-service guide before claiming a feature is live, complete or ready for handover.</w:t>
      </w:r>
    </w:p>
    <w:p>
      <w:pPr>
        <w:pStyle w:val="Heading1"/>
      </w:pPr>
      <w:r>
        <w:rPr>
          <w:color w:val="0B2545"/>
        </w:rPr>
        <w:t>Church / Faith Group First Send</w:t>
      </w:r>
    </w:p>
    <w:p>
      <w:r>
        <w:t>Best first modules:</w:t>
      </w:r>
    </w:p>
    <w:p>
      <w:pPr>
        <w:pStyle w:val="ListBullet"/>
      </w:pPr>
      <w:r>
        <w:t>1. Recognised Community Identity</w:t>
      </w:r>
    </w:p>
    <w:p>
      <w:pPr>
        <w:pStyle w:val="ListBullet"/>
      </w:pPr>
      <w:r>
        <w:t>2. Governed Membership and Joining</w:t>
      </w:r>
    </w:p>
    <w:p>
      <w:pPr>
        <w:pStyle w:val="ListBullet"/>
      </w:pPr>
      <w:r>
        <w:t>3. Invite Links and QR Entry</w:t>
      </w:r>
    </w:p>
    <w:p>
      <w:pPr>
        <w:pStyle w:val="ListBullet"/>
      </w:pPr>
      <w:r>
        <w:t>4. Official Bulletin and Announcement Surface</w:t>
      </w:r>
    </w:p>
    <w:p>
      <w:pPr>
        <w:pStyle w:val="ListBullet"/>
      </w:pPr>
      <w:r>
        <w:t>5. Acknowledgement, Availability and Response Signals</w:t>
      </w:r>
    </w:p>
    <w:p>
      <w:pPr>
        <w:pStyle w:val="ListBullet"/>
      </w:pPr>
      <w:r>
        <w:t>6. Meeting Lifecycle Support</w:t>
      </w:r>
    </w:p>
    <w:p>
      <w:pPr>
        <w:pStyle w:val="ListBullet"/>
      </w:pPr>
      <w:r>
        <w:t>7. Digital Attendance and Sign-In</w:t>
      </w:r>
    </w:p>
    <w:p>
      <w:pPr>
        <w:pStyle w:val="ListBullet"/>
      </w:pPr>
      <w:r>
        <w:t>8. Permanent Minutes, Decisions and Action Memory</w:t>
      </w:r>
    </w:p>
    <w:p>
      <w:pPr>
        <w:pStyle w:val="ListBullet"/>
      </w:pPr>
      <w:r>
        <w:t>9. Heavy Documents, Downloads and Bridges</w:t>
      </w:r>
    </w:p>
    <w:p>
      <w:pPr>
        <w:pStyle w:val="ListBullet"/>
      </w:pPr>
      <w:r>
        <w:t>11. Leadership Continuity and Handover</w:t>
      </w:r>
    </w:p>
    <w:p>
      <w:pPr>
        <w:pStyle w:val="ListBullet"/>
      </w:pPr>
      <w:r>
        <w:t>13. Welfare and Support Coordination</w:t>
      </w:r>
    </w:p>
    <w:p>
      <w:pPr>
        <w:pStyle w:val="ListBullet"/>
      </w:pPr>
      <w:r>
        <w:t>18. Community Bulletin Bridge to WhatsApp and Social Channels</w:t>
      </w:r>
    </w:p>
    <w:p>
      <w:pPr>
        <w:pStyle w:val="ListBullet"/>
      </w:pPr>
      <w:r>
        <w:t>36. Contribution Tracking and Reconciliation Evidence</w:t>
      </w:r>
    </w:p>
    <w:p>
      <w:pPr>
        <w:pStyle w:val="ListBullet"/>
      </w:pPr>
      <w:r>
        <w:t>38. Diaspora Trust Bridge</w:t>
      </w:r>
    </w:p>
    <w:p>
      <w:pPr>
        <w:pStyle w:val="ListBullet"/>
      </w:pPr>
      <w:r>
        <w:t>41. Church Programmes, Offering, Volunteers and Follow-Up</w:t>
      </w:r>
    </w:p>
    <w:p>
      <w:r>
        <w:t>Lead message: GSN helps the church preserve announcements, attendance, offering/support evidence, programme follow-up and leadership handover, without leaving everything inside WhatsApp.</w:t>
      </w:r>
    </w:p>
    <w:p>
      <w:pPr>
        <w:pStyle w:val="Heading1"/>
      </w:pPr>
      <w:r>
        <w:rPr>
          <w:color w:val="0B2545"/>
        </w:rPr>
        <w:t>School / Youth Organisation First Send</w:t>
      </w:r>
    </w:p>
    <w:p>
      <w:r>
        <w:t>Best first modules:</w:t>
      </w:r>
    </w:p>
    <w:p>
      <w:pPr>
        <w:pStyle w:val="ListBullet"/>
      </w:pPr>
      <w:r>
        <w:t>1. Recognised Community Identity</w:t>
      </w:r>
    </w:p>
    <w:p>
      <w:pPr>
        <w:pStyle w:val="ListBullet"/>
      </w:pPr>
      <w:r>
        <w:t>2. Governed Membership and Joining</w:t>
      </w:r>
    </w:p>
    <w:p>
      <w:pPr>
        <w:pStyle w:val="ListBullet"/>
      </w:pPr>
      <w:r>
        <w:t>3. Invite Links and QR Entry</w:t>
      </w:r>
    </w:p>
    <w:p>
      <w:pPr>
        <w:pStyle w:val="ListBullet"/>
      </w:pPr>
      <w:r>
        <w:t>4. Official Bulletin and Announcement Surface</w:t>
      </w:r>
    </w:p>
    <w:p>
      <w:pPr>
        <w:pStyle w:val="ListBullet"/>
      </w:pPr>
      <w:r>
        <w:t>5. Acknowledgement, Availability and Response Signals</w:t>
      </w:r>
    </w:p>
    <w:p>
      <w:pPr>
        <w:pStyle w:val="ListBullet"/>
      </w:pPr>
      <w:r>
        <w:t>6. Meeting Lifecycle Support</w:t>
      </w:r>
    </w:p>
    <w:p>
      <w:pPr>
        <w:pStyle w:val="ListBullet"/>
      </w:pPr>
      <w:r>
        <w:t>7. Digital Attendance and Sign-In</w:t>
      </w:r>
    </w:p>
    <w:p>
      <w:pPr>
        <w:pStyle w:val="ListBullet"/>
      </w:pPr>
      <w:r>
        <w:t>8. Permanent Minutes, Decisions and Action Memory</w:t>
      </w:r>
    </w:p>
    <w:p>
      <w:pPr>
        <w:pStyle w:val="ListBullet"/>
      </w:pPr>
      <w:r>
        <w:t>9. Heavy Documents, Downloads and Bridges</w:t>
      </w:r>
    </w:p>
    <w:p>
      <w:pPr>
        <w:pStyle w:val="ListBullet"/>
      </w:pPr>
      <w:r>
        <w:t>10. Roles, Permissions and Approval Paths</w:t>
      </w:r>
    </w:p>
    <w:p>
      <w:pPr>
        <w:pStyle w:val="ListBullet"/>
      </w:pPr>
      <w:r>
        <w:t>12. Projects, Visits and Collective Initiatives</w:t>
      </w:r>
    </w:p>
    <w:p>
      <w:pPr>
        <w:pStyle w:val="ListBullet"/>
      </w:pPr>
      <w:r>
        <w:t>34. Phone Notifications and Action Alerts</w:t>
      </w:r>
    </w:p>
    <w:p>
      <w:pPr>
        <w:pStyle w:val="ListBullet"/>
      </w:pPr>
      <w:r>
        <w:t>36. Contribution Tracking and Reconciliation Evidence</w:t>
      </w:r>
    </w:p>
    <w:p>
      <w:pPr>
        <w:pStyle w:val="ListBullet"/>
      </w:pPr>
      <w:r>
        <w:t>40. Schools, Youth Groups and Consent-Sensitive Events</w:t>
      </w:r>
    </w:p>
    <w:p>
      <w:r>
        <w:t>Lead message: GSN helps schools and youth groups handle announcements, forms, attendance, consent-sensitive participation and follow-up with clearer records.</w:t>
      </w:r>
    </w:p>
    <w:p>
      <w:pPr>
        <w:pStyle w:val="Heading1"/>
      </w:pPr>
      <w:r>
        <w:rPr>
          <w:color w:val="0B2545"/>
        </w:rPr>
        <w:t>NGO / Charity / Community Organisation First Send</w:t>
      </w:r>
    </w:p>
    <w:p>
      <w:r>
        <w:t>Best first modules:</w:t>
      </w:r>
    </w:p>
    <w:p>
      <w:pPr>
        <w:pStyle w:val="ListBullet"/>
      </w:pPr>
      <w:r>
        <w:t>1. Recognised Community Identity</w:t>
      </w:r>
    </w:p>
    <w:p>
      <w:pPr>
        <w:pStyle w:val="ListBullet"/>
      </w:pPr>
      <w:r>
        <w:t>2. Governed Membership and Joining</w:t>
      </w:r>
    </w:p>
    <w:p>
      <w:pPr>
        <w:pStyle w:val="ListBullet"/>
      </w:pPr>
      <w:r>
        <w:t>4. Official Bulletin and Announcement Surface</w:t>
      </w:r>
    </w:p>
    <w:p>
      <w:pPr>
        <w:pStyle w:val="ListBullet"/>
      </w:pPr>
      <w:r>
        <w:t>5. Acknowledgement, Availability and Response Signals</w:t>
      </w:r>
    </w:p>
    <w:p>
      <w:pPr>
        <w:pStyle w:val="ListBullet"/>
      </w:pPr>
      <w:r>
        <w:t>6. Meeting Lifecycle Support</w:t>
      </w:r>
    </w:p>
    <w:p>
      <w:pPr>
        <w:pStyle w:val="ListBullet"/>
      </w:pPr>
      <w:r>
        <w:t>7. Digital Attendance and Sign-In</w:t>
      </w:r>
    </w:p>
    <w:p>
      <w:pPr>
        <w:pStyle w:val="ListBullet"/>
      </w:pPr>
      <w:r>
        <w:t>8. Permanent Minutes, Decisions and Action Memory</w:t>
      </w:r>
    </w:p>
    <w:p>
      <w:pPr>
        <w:pStyle w:val="ListBullet"/>
      </w:pPr>
      <w:r>
        <w:t>9. Heavy Documents, Downloads and Bridges</w:t>
      </w:r>
    </w:p>
    <w:p>
      <w:pPr>
        <w:pStyle w:val="ListBullet"/>
      </w:pPr>
      <w:r>
        <w:t>12. Projects, Visits and Collective Initiatives</w:t>
      </w:r>
    </w:p>
    <w:p>
      <w:pPr>
        <w:pStyle w:val="ListBullet"/>
      </w:pPr>
      <w:r>
        <w:t>13. Welfare and Support Coordination</w:t>
      </w:r>
    </w:p>
    <w:p>
      <w:pPr>
        <w:pStyle w:val="ListBullet"/>
      </w:pPr>
      <w:r>
        <w:t>17. Public Sharing, QR and Repost Links</w:t>
      </w:r>
    </w:p>
    <w:p>
      <w:pPr>
        <w:pStyle w:val="ListBullet"/>
      </w:pPr>
      <w:r>
        <w:t>19. DemandBox for Structured Need and Demand</w:t>
      </w:r>
    </w:p>
    <w:p>
      <w:pPr>
        <w:pStyle w:val="ListBullet"/>
      </w:pPr>
      <w:r>
        <w:t>29. Purpose-Specific TrustSlip</w:t>
      </w:r>
    </w:p>
    <w:p>
      <w:pPr>
        <w:pStyle w:val="ListBullet"/>
      </w:pPr>
      <w:r>
        <w:t>33. Opportunity Engine as Advanced Evidence-Led Analytics</w:t>
      </w:r>
    </w:p>
    <w:p>
      <w:pPr>
        <w:pStyle w:val="ListBullet"/>
      </w:pPr>
      <w:r>
        <w:t>37. Emergency Support With Accountability</w:t>
      </w:r>
    </w:p>
    <w:p>
      <w:pPr>
        <w:pStyle w:val="ListBullet"/>
      </w:pPr>
      <w:r>
        <w:t>42. NGO and Charity Activity Proof</w:t>
      </w:r>
    </w:p>
    <w:p>
      <w:r>
        <w:t>Lead message: GSN helps NGOs turn activity into traceable evidence: meetings, attendance, outreach, support, documents, follow-up and opportunity signals.</w:t>
      </w:r>
    </w:p>
    <w:p>
      <w:pPr>
        <w:pStyle w:val="Heading1"/>
      </w:pPr>
      <w:r>
        <w:rPr>
          <w:color w:val="0B2545"/>
        </w:rPr>
        <w:t>Cooperative / Market / Business Network First Send</w:t>
      </w:r>
    </w:p>
    <w:p>
      <w:r>
        <w:t>Best first modules:</w:t>
      </w:r>
    </w:p>
    <w:p>
      <w:pPr>
        <w:pStyle w:val="ListBullet"/>
      </w:pPr>
      <w:r>
        <w:t>1. Recognised Community Identity</w:t>
      </w:r>
    </w:p>
    <w:p>
      <w:pPr>
        <w:pStyle w:val="ListBullet"/>
      </w:pPr>
      <w:r>
        <w:t>2. Governed Membership and Joining</w:t>
      </w:r>
    </w:p>
    <w:p>
      <w:pPr>
        <w:pStyle w:val="ListBullet"/>
      </w:pPr>
      <w:r>
        <w:t>14. Member Business and Service Presence</w:t>
      </w:r>
    </w:p>
    <w:p>
      <w:pPr>
        <w:pStyle w:val="ListBullet"/>
      </w:pPr>
      <w:r>
        <w:t>15. Products, Services, Images and Contact Clarity</w:t>
      </w:r>
    </w:p>
    <w:p>
      <w:pPr>
        <w:pStyle w:val="ListBullet"/>
      </w:pPr>
      <w:r>
        <w:t>16. Spotlight Visibility Without Chat Flooding</w:t>
      </w:r>
    </w:p>
    <w:p>
      <w:pPr>
        <w:pStyle w:val="ListBullet"/>
      </w:pPr>
      <w:r>
        <w:t>17. Public Sharing, QR and Repost Links</w:t>
      </w:r>
    </w:p>
    <w:p>
      <w:pPr>
        <w:pStyle w:val="ListBullet"/>
      </w:pPr>
      <w:r>
        <w:t>19. DemandBox for Structured Need and Demand</w:t>
      </w:r>
    </w:p>
    <w:p>
      <w:pPr>
        <w:pStyle w:val="ListBullet"/>
      </w:pPr>
      <w:r>
        <w:t>20. Ask Community Routed to DemandBox</w:t>
      </w:r>
    </w:p>
    <w:p>
      <w:pPr>
        <w:pStyle w:val="ListBullet"/>
      </w:pPr>
      <w:r>
        <w:t>22. Cross-Community Opportunity Movement</w:t>
      </w:r>
    </w:p>
    <w:p>
      <w:pPr>
        <w:pStyle w:val="ListBullet"/>
      </w:pPr>
      <w:r>
        <w:t>24. Buyer-Seller Terms Before Money or Goods Move</w:t>
      </w:r>
    </w:p>
    <w:p>
      <w:pPr>
        <w:pStyle w:val="ListBullet"/>
      </w:pPr>
      <w:r>
        <w:t>25. Merchant Context Without False Guarantees</w:t>
      </w:r>
    </w:p>
    <w:p>
      <w:pPr>
        <w:pStyle w:val="ListBullet"/>
      </w:pPr>
      <w:r>
        <w:t>29. Purpose-Specific TrustSlip</w:t>
      </w:r>
    </w:p>
    <w:p>
      <w:pPr>
        <w:pStyle w:val="ListBullet"/>
      </w:pPr>
      <w:r>
        <w:t>31. Shop Control and Business Analytics</w:t>
      </w:r>
    </w:p>
    <w:p>
      <w:pPr>
        <w:pStyle w:val="ListBullet"/>
      </w:pPr>
      <w:r>
        <w:t>32. Market Wisdom Snapshot</w:t>
      </w:r>
    </w:p>
    <w:p>
      <w:pPr>
        <w:pStyle w:val="ListBullet"/>
      </w:pPr>
      <w:r>
        <w:t>33. Opportunity Engine as Advanced Evidence-Led Analytics</w:t>
      </w:r>
    </w:p>
    <w:p>
      <w:pPr>
        <w:pStyle w:val="ListBullet"/>
      </w:pPr>
      <w:r>
        <w:t>35. Trust Savings and ROSCA Support</w:t>
      </w:r>
    </w:p>
    <w:p>
      <w:pPr>
        <w:pStyle w:val="ListBullet"/>
      </w:pPr>
      <w:r>
        <w:t>43. Cooperative and Market Resource Pooling</w:t>
      </w:r>
    </w:p>
    <w:p>
      <w:r>
        <w:t>Lead message: GSN helps local trade become visible, structured and evidence-aware: shops, Spotlight, DemandBox, TrustSlip, analytics and resource pooling.</w:t>
      </w:r>
    </w:p>
    <w:p>
      <w:pPr>
        <w:pStyle w:val="Heading1"/>
      </w:pPr>
      <w:r>
        <w:rPr>
          <w:color w:val="0B2545"/>
        </w:rPr>
        <w:t>Family / Diaspora / Association First Send</w:t>
      </w:r>
    </w:p>
    <w:p>
      <w:r>
        <w:t>Best first modules:</w:t>
      </w:r>
    </w:p>
    <w:p>
      <w:pPr>
        <w:pStyle w:val="ListBullet"/>
      </w:pPr>
      <w:r>
        <w:t>1. Recognised Community Identity</w:t>
      </w:r>
    </w:p>
    <w:p>
      <w:pPr>
        <w:pStyle w:val="ListBullet"/>
      </w:pPr>
      <w:r>
        <w:t>2. Governed Membership and Joining</w:t>
      </w:r>
    </w:p>
    <w:p>
      <w:pPr>
        <w:pStyle w:val="ListBullet"/>
      </w:pPr>
      <w:r>
        <w:t>3. Invite Links and QR Entry</w:t>
      </w:r>
    </w:p>
    <w:p>
      <w:pPr>
        <w:pStyle w:val="ListBullet"/>
      </w:pPr>
      <w:r>
        <w:t>4. Official Bulletin and Announcement Surface</w:t>
      </w:r>
    </w:p>
    <w:p>
      <w:pPr>
        <w:pStyle w:val="ListBullet"/>
      </w:pPr>
      <w:r>
        <w:t>6. Meeting Lifecycle Support</w:t>
      </w:r>
    </w:p>
    <w:p>
      <w:pPr>
        <w:pStyle w:val="ListBullet"/>
      </w:pPr>
      <w:r>
        <w:t>7. Digital Attendance and Sign-In</w:t>
      </w:r>
    </w:p>
    <w:p>
      <w:pPr>
        <w:pStyle w:val="ListBullet"/>
      </w:pPr>
      <w:r>
        <w:t>8. Permanent Minutes, Decisions and Action Memory</w:t>
      </w:r>
    </w:p>
    <w:p>
      <w:pPr>
        <w:pStyle w:val="ListBullet"/>
      </w:pPr>
      <w:r>
        <w:t>11. Leadership Continuity and Handover</w:t>
      </w:r>
    </w:p>
    <w:p>
      <w:pPr>
        <w:pStyle w:val="ListBullet"/>
      </w:pPr>
      <w:r>
        <w:t>13. Welfare and Support Coordination</w:t>
      </w:r>
    </w:p>
    <w:p>
      <w:pPr>
        <w:pStyle w:val="ListBullet"/>
      </w:pPr>
      <w:r>
        <w:t>17. Public Sharing, QR and Repost Links</w:t>
      </w:r>
    </w:p>
    <w:p>
      <w:pPr>
        <w:pStyle w:val="ListBullet"/>
      </w:pPr>
      <w:r>
        <w:t>19. DemandBox for Structured Need and Demand</w:t>
      </w:r>
    </w:p>
    <w:p>
      <w:pPr>
        <w:pStyle w:val="ListBullet"/>
      </w:pPr>
      <w:r>
        <w:t>21. Private Response Through Contact Paths</w:t>
      </w:r>
    </w:p>
    <w:p>
      <w:pPr>
        <w:pStyle w:val="ListBullet"/>
      </w:pPr>
      <w:r>
        <w:t>29. Purpose-Specific TrustSlip</w:t>
      </w:r>
    </w:p>
    <w:p>
      <w:pPr>
        <w:pStyle w:val="ListBullet"/>
      </w:pPr>
      <w:r>
        <w:t>34. Phone Notifications and Action Alerts</w:t>
      </w:r>
    </w:p>
    <w:p>
      <w:pPr>
        <w:pStyle w:val="ListBullet"/>
      </w:pPr>
      <w:r>
        <w:t>35. Trust Savings and ROSCA Support</w:t>
      </w:r>
    </w:p>
    <w:p>
      <w:pPr>
        <w:pStyle w:val="ListBullet"/>
      </w:pPr>
      <w:r>
        <w:t>36. Contribution Tracking and Reconciliation Evidence</w:t>
      </w:r>
    </w:p>
    <w:p>
      <w:pPr>
        <w:pStyle w:val="ListBullet"/>
      </w:pPr>
      <w:r>
        <w:t>38. Diaspora Trust Bridge</w:t>
      </w:r>
    </w:p>
    <w:p>
      <w:pPr>
        <w:pStyle w:val="ListBullet"/>
      </w:pPr>
      <w:r>
        <w:t>44. Commitment Builder and Follow-Through</w:t>
      </w:r>
    </w:p>
    <w:p>
      <w:r>
        <w:t>Lead message: GSN helps families and associations preserve decisions, support, contributions, diaspora trust and follow-through beyond changing phones or officers.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