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Church and Faith Group Real-Life Copy (2026-09-14)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 | Source-controlled in gmfn_mvp/docs | Document date: 2026-09-14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rPr>
          <w:color w:val="0B2545"/>
        </w:rPr>
        <w:t>How to Use This Document</w:t>
      </w:r>
    </w:p>
    <w:p>
      <w:r>
        <w:t>For pastors, church executives, departments, fellowships and faith-based community leaders.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copy as an audience-specific conversation pack. It deliberately excludes many modules from the master bank so the receiver sees only what concerns them.</w:t>
      </w:r>
    </w:p>
    <w:p>
      <w:pPr>
        <w:pStyle w:val="Heading1"/>
      </w:pPr>
      <w:r>
        <w:rPr>
          <w:color w:val="0B2545"/>
        </w:rPr>
        <w:t>Capability Modules</w:t>
      </w:r>
    </w:p>
    <w:p>
      <w:pPr>
        <w:pStyle w:val="Heading1"/>
      </w:pPr>
      <w:r>
        <w:rPr>
          <w:color w:val="0B2545"/>
        </w:rP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rPr>
          <w:color w:val="0B2545"/>
        </w:rP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rPr>
          <w:color w:val="0B2545"/>
        </w:rP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rPr>
          <w:color w:val="0B2545"/>
        </w:rP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rPr>
          <w:color w:val="0B2545"/>
        </w:rP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rPr>
          <w:color w:val="0B2545"/>
        </w:rP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rPr>
          <w:color w:val="0B2545"/>
        </w:rP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rPr>
          <w:color w:val="0B2545"/>
        </w:rP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rPr>
          <w:color w:val="0B2545"/>
        </w:rP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rPr>
          <w:color w:val="0B2545"/>
        </w:rP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rPr>
          <w:color w:val="0B2545"/>
        </w:rP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rPr>
          <w:color w:val="0B2545"/>
        </w:rP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rPr>
          <w:color w:val="0B2545"/>
        </w:rP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rPr>
          <w:color w:val="0B2545"/>
        </w:rP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rPr>
          <w:color w:val="0B2545"/>
        </w:rP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rPr>
          <w:color w:val="0B2545"/>
        </w:rP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rPr>
          <w:color w:val="0B2545"/>
        </w:rP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rPr>
          <w:color w:val="0B2545"/>
        </w:rP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rPr>
          <w:color w:val="0B2545"/>
        </w:rP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rPr>
          <w:color w:val="0B2545"/>
        </w:rP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rPr>
          <w:color w:val="0B2545"/>
        </w:rP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rPr>
          <w:color w:val="0B2545"/>
        </w:rPr>
        <w:t>22.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rPr>
          <w:color w:val="0B2545"/>
        </w:rPr>
        <w:t>23.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rPr>
          <w:color w:val="0B2545"/>
        </w:rPr>
        <w:t>24.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rPr>
          <w:color w:val="0B2545"/>
        </w:rPr>
        <w:t>25.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rPr>
          <w:color w:val="0B2545"/>
        </w:rPr>
        <w:t>26.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rPr>
          <w:color w:val="0B2545"/>
        </w:rPr>
        <w:t>27.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rPr>
          <w:color w:val="0B2545"/>
        </w:rPr>
        <w:t>28.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rPr>
          <w:color w:val="0B2545"/>
        </w:rPr>
        <w:t>29.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rPr>
          <w:color w:val="0B2545"/>
        </w:rPr>
        <w:t>30.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rPr>
          <w:color w:val="0B2545"/>
        </w:rPr>
        <w:t>31. Trust Savings and ROSCA Support</w:t>
      </w:r>
    </w:p>
    <w:p>
      <w:r>
        <w:t>Current truth boundary: Capability direction/non-custodial unless finance workflows confirm more.</w:t>
      </w:r>
    </w:p>
    <w:p>
      <w:r>
        <w:t>The real-life problem: Rotating contribution groups depend on memory, social pressure and manual records.</w:t>
      </w:r>
    </w:p>
    <w:p>
      <w:r>
        <w:t>What GSN adds: GSN can organise participants, expectations, contribution evidence, turns, reminders and dispute context without holding funds.</w:t>
      </w:r>
    </w:p>
    <w:p>
      <w:r>
        <w:t>Why it is important: The trust circle becomes stronger when records are clear.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accountability around the money, not pretending GSN is the bank.</w:t>
      </w:r>
    </w:p>
    <w:p>
      <w:r>
        <w:t>What not to overclaim: Do not claim custody, lending or regulated financial services unless legally implemented.</w:t>
      </w:r>
    </w:p>
    <w:p>
      <w:pPr>
        <w:pStyle w:val="Heading1"/>
      </w:pPr>
      <w:r>
        <w:rPr>
          <w:color w:val="0B2545"/>
        </w:rPr>
        <w:t>32.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rPr>
          <w:color w:val="0B2545"/>
        </w:rPr>
        <w:t>33.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rPr>
          <w:color w:val="0B2545"/>
        </w:rPr>
        <w:t>34. Diaspora Trust Bridge</w:t>
      </w:r>
    </w:p>
    <w:p>
      <w:r>
        <w:t>Current truth boundary: Capability direction using identity, public verification, TrustSlip and controlled links.</w:t>
      </w:r>
    </w:p>
    <w:p>
      <w:r>
        <w:t>The real-life problem: People abroad want to support home communities but struggle to verify people, needs, projects and outcomes.</w:t>
      </w:r>
    </w:p>
    <w:p>
      <w:r>
        <w:t>What GSN adds: GSN can package community identity, records, requests and selected evidence into a bridge that distant supporters can inspect.</w:t>
      </w:r>
    </w:p>
    <w:p>
      <w:r>
        <w:t>Why it is important: Distance reduces trust unless evidence travels well.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Supporters do not need to be physically present to see a structured record.</w:t>
      </w:r>
    </w:p>
    <w:p>
      <w:r>
        <w:t>What not to overclaim: Distant verification still requires judgement and sometimes independent checks.</w:t>
      </w:r>
    </w:p>
    <w:p>
      <w:pPr>
        <w:pStyle w:val="Heading1"/>
      </w:pPr>
      <w:r>
        <w:rPr>
          <w:color w:val="0B2545"/>
        </w:rPr>
        <w:t>35.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rPr>
          <w:color w:val="0B2545"/>
        </w:rPr>
        <w:t>36. Schools, Youth Groups and Consent-Sensitive Events</w:t>
      </w:r>
    </w:p>
    <w:p>
      <w:r>
        <w:t>Current truth boundary: Audience-specific capability direction requiring strict permissions.</w:t>
      </w:r>
    </w:p>
    <w:p>
      <w:r>
        <w:t>The real-life problem: Schools and youth groups need attendance, parent communication, events, follow-up and safeguarding without exposing private details.</w:t>
      </w:r>
    </w:p>
    <w:p>
      <w:r>
        <w:t>What GSN adds: GSN can structure announcements, attendance, documents, approvals and follow-up in a governed community space.</w:t>
      </w:r>
    </w:p>
    <w:p>
      <w:r>
        <w:t>Why it is important: Youth settings need order and privacy at the same time.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programme notice can carry forms, attendance and follow-up without depending only on a class WhatsApp group.</w:t>
      </w:r>
    </w:p>
    <w:p>
      <w:r>
        <w:t>What not to overclaim: Any child or youth use requires safeguards, consent and data minimisation.</w:t>
      </w:r>
    </w:p>
    <w:p>
      <w:pPr>
        <w:pStyle w:val="Heading1"/>
      </w:pPr>
      <w:r>
        <w:rPr>
          <w:color w:val="0B2545"/>
        </w:rPr>
        <w:t>37. Church Programmes, Offering, Volunteers and Follow-Up</w:t>
      </w:r>
    </w:p>
    <w:p>
      <w:r>
        <w:t>Current truth boundary: Audience-specific composite capability; payment handling depends on lawful integrations.</w:t>
      </w:r>
    </w:p>
    <w:p>
      <w:r>
        <w:t>The real-life problem: Churches manage announcements, services, departments, offerings, welfare, programmes, volunteers and pastoral follow-up across many informal channels.</w:t>
      </w:r>
    </w:p>
    <w:p>
      <w:r>
        <w:t>What GSN adds: GSN can structure notices, attendance or availability, documents, volunteer coordination, support records and programme memory.</w:t>
      </w:r>
    </w:p>
    <w:p>
      <w:r>
        <w:t>Why it is important: A church is not only Sunday gathering; it is a living organisation with people, records, needs and follow-up.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An offering drive or programme can keep its instruction, evidence and follow-up in one governed place.</w:t>
      </w:r>
    </w:p>
    <w:p>
      <w:r>
        <w:t>What not to overclaim: GSN must not replace pastoral judgement, safeguarding rules or regulated payment/accounting requirements.</w:t>
      </w:r>
    </w:p>
    <w:p>
      <w:pPr>
        <w:pStyle w:val="Heading1"/>
      </w:pPr>
      <w:r>
        <w:rPr>
          <w:color w:val="0B2545"/>
        </w:rPr>
        <w:t>38. NGO and Charity Activity Proof</w:t>
      </w:r>
    </w:p>
    <w:p>
      <w:r>
        <w:t>Current truth boundary: Audience-specific composite capability from projects, attendance, documents, contributions and outcomes.</w:t>
      </w:r>
    </w:p>
    <w:p>
      <w:r>
        <w:t>The real-life problem: NGOs and charities need to prove that meetings, outreach, support and outcomes happened, not only that they were announced.</w:t>
      </w:r>
    </w:p>
    <w:p>
      <w:r>
        <w:t>What GSN adds: GSN can organise beneficiaries, volunteers, announcements, attendance, support records, documents and follow-up evidence.</w:t>
      </w:r>
    </w:p>
    <w:p>
      <w:r>
        <w:t>Why it is important: Funders and partners care about traceable activity and responsible delivery.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small outreach can become a traceable record that helps the next grant conversation.</w:t>
      </w:r>
    </w:p>
    <w:p>
      <w:r>
        <w:t>What not to overclaim: GSN activity proof is not an independent audit unless audited by a qualified party.</w:t>
      </w:r>
    </w:p>
    <w:p>
      <w:pPr>
        <w:pStyle w:val="Heading1"/>
      </w:pPr>
      <w:r>
        <w:rPr>
          <w:color w:val="0B2545"/>
        </w:rPr>
        <w:t>39.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